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A6D2" w14:textId="388BECD0" w:rsidR="0073346A" w:rsidRPr="006C627B" w:rsidRDefault="0073346A" w:rsidP="00EE55FF">
      <w:pPr>
        <w:rPr>
          <w:color w:val="FFC000"/>
          <w:u w:val="single"/>
          <w:lang w:val="sl-SI"/>
        </w:rPr>
      </w:pPr>
    </w:p>
    <w:p w14:paraId="053ACB1A" w14:textId="77777777" w:rsidR="00165F93" w:rsidRDefault="00165F93" w:rsidP="004A5B29">
      <w:pPr>
        <w:sectPr w:rsidR="00165F93" w:rsidSect="006C627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num="2" w:space="708"/>
          <w:titlePg/>
          <w:docGrid w:linePitch="360"/>
        </w:sectPr>
      </w:pPr>
    </w:p>
    <w:p w14:paraId="65181DFC" w14:textId="77777777" w:rsidR="00EE55FF" w:rsidRDefault="00EE55FF" w:rsidP="00EE55FF">
      <w:pPr>
        <w:rPr>
          <w:lang w:val="sl-SI"/>
        </w:rPr>
      </w:pPr>
    </w:p>
    <w:p w14:paraId="69433C90" w14:textId="77777777" w:rsidR="00EE55FF" w:rsidRPr="00EE55FF" w:rsidRDefault="00EE55FF" w:rsidP="00EE55FF">
      <w:pPr>
        <w:jc w:val="both"/>
        <w:rPr>
          <w:rFonts w:ascii="Arial" w:hAnsi="Arial" w:cs="Arial"/>
          <w:b/>
          <w:bCs/>
          <w:color w:val="002060"/>
          <w:sz w:val="20"/>
          <w:szCs w:val="20"/>
          <w:lang w:eastAsia="zh-CN"/>
          <w14:ligatures w14:val="none"/>
        </w:rPr>
      </w:pPr>
      <w:r w:rsidRPr="00EE55FF">
        <w:rPr>
          <w:rFonts w:ascii="Arial" w:hAnsi="Arial" w:cs="Arial"/>
          <w:b/>
          <w:bCs/>
          <w:color w:val="002060"/>
          <w:sz w:val="20"/>
          <w:szCs w:val="20"/>
        </w:rPr>
        <w:t>Naložbena agenda strategije Global Gateway za EU ter Latinsko Ameriko in Karibe</w:t>
      </w:r>
    </w:p>
    <w:p w14:paraId="53774F5B" w14:textId="77777777" w:rsidR="00EE55FF" w:rsidRPr="00EE55FF" w:rsidRDefault="00EE55FF" w:rsidP="00EE55FF">
      <w:pPr>
        <w:jc w:val="both"/>
        <w:rPr>
          <w:rFonts w:ascii="Arial" w:hAnsi="Arial" w:cs="Arial"/>
          <w:color w:val="002060"/>
          <w:sz w:val="20"/>
          <w:szCs w:val="20"/>
        </w:rPr>
      </w:pPr>
    </w:p>
    <w:p w14:paraId="232C373E" w14:textId="77777777" w:rsidR="00EE55FF" w:rsidRPr="00EE55FF" w:rsidRDefault="00EE55FF" w:rsidP="00EE55FF">
      <w:pPr>
        <w:jc w:val="both"/>
        <w:rPr>
          <w:rFonts w:ascii="Arial" w:hAnsi="Arial" w:cs="Arial"/>
          <w:color w:val="002060"/>
          <w:sz w:val="20"/>
          <w:szCs w:val="20"/>
        </w:rPr>
      </w:pPr>
      <w:r w:rsidRPr="00EE55FF">
        <w:rPr>
          <w:rFonts w:ascii="Arial" w:hAnsi="Arial" w:cs="Arial"/>
          <w:color w:val="002060"/>
          <w:sz w:val="20"/>
          <w:szCs w:val="20"/>
        </w:rPr>
        <w:t>Evropska komisija je predstavila naložbeno agendo strategije Global Gateway za EU ter Latinsko Ameriko in Karibe, ki temelji na naslednjih stebrih: pravičen zeleni prehod, vključujoča digitalna preobrazba, človekov razvoj in odpornost na področju zdravja ter cepiva. Naložbena agenda vključuje seznam več kot 130 projektov za uresničitev pravičnega zelenega in digitalnega prehoda na obeh straneh Atlantika.</w:t>
      </w:r>
    </w:p>
    <w:p w14:paraId="72500F8D" w14:textId="77777777" w:rsidR="00EE55FF" w:rsidRPr="00EE55FF" w:rsidRDefault="00EE55FF" w:rsidP="00EE55FF">
      <w:pPr>
        <w:jc w:val="both"/>
        <w:rPr>
          <w:rFonts w:ascii="Arial" w:hAnsi="Arial" w:cs="Arial"/>
          <w:color w:val="002060"/>
          <w:sz w:val="20"/>
          <w:szCs w:val="20"/>
        </w:rPr>
      </w:pPr>
    </w:p>
    <w:p w14:paraId="04717FC0" w14:textId="77777777" w:rsidR="00EE55FF" w:rsidRPr="00EE55FF" w:rsidRDefault="00EE55FF" w:rsidP="00EE55FF">
      <w:pPr>
        <w:jc w:val="both"/>
        <w:rPr>
          <w:rFonts w:ascii="Arial" w:hAnsi="Arial" w:cs="Arial"/>
          <w:color w:val="002060"/>
          <w:sz w:val="20"/>
          <w:szCs w:val="20"/>
        </w:rPr>
      </w:pPr>
      <w:r w:rsidRPr="00EE55FF">
        <w:rPr>
          <w:rFonts w:ascii="Arial" w:hAnsi="Arial" w:cs="Arial"/>
          <w:color w:val="002060"/>
          <w:sz w:val="20"/>
          <w:szCs w:val="20"/>
        </w:rPr>
        <w:t>Več:</w:t>
      </w:r>
    </w:p>
    <w:p w14:paraId="113E8F0B" w14:textId="77777777" w:rsidR="00EE55FF" w:rsidRPr="00EE55FF" w:rsidRDefault="00000000" w:rsidP="00EE55FF">
      <w:pPr>
        <w:jc w:val="both"/>
        <w:rPr>
          <w:color w:val="FFC000"/>
        </w:rPr>
      </w:pPr>
      <w:hyperlink r:id="rId12" w:history="1">
        <w:r w:rsidR="00EE55FF" w:rsidRPr="00EE55FF">
          <w:rPr>
            <w:rStyle w:val="Hyperlink"/>
            <w:rFonts w:ascii="Arial" w:hAnsi="Arial" w:cs="Arial"/>
            <w:color w:val="FFC000"/>
            <w:sz w:val="20"/>
            <w:szCs w:val="20"/>
          </w:rPr>
          <w:t>Program naložb s primeri projektov</w:t>
        </w:r>
      </w:hyperlink>
    </w:p>
    <w:p w14:paraId="564F6A90" w14:textId="77777777" w:rsidR="00EE55FF" w:rsidRPr="00EE55FF" w:rsidRDefault="00EE55FF" w:rsidP="00EE55FF">
      <w:pPr>
        <w:jc w:val="both"/>
        <w:rPr>
          <w:color w:val="002060"/>
        </w:rPr>
      </w:pPr>
    </w:p>
    <w:p w14:paraId="1C11076E" w14:textId="77777777" w:rsidR="00EE55FF" w:rsidRPr="00EE55FF" w:rsidRDefault="00EE55FF" w:rsidP="00EE55FF">
      <w:pPr>
        <w:rPr>
          <w:color w:val="002060"/>
          <w:lang w:val="sl-SI"/>
        </w:rPr>
      </w:pPr>
    </w:p>
    <w:p w14:paraId="5456CB38" w14:textId="77777777" w:rsidR="00EE55FF" w:rsidRPr="00EE55FF" w:rsidRDefault="00EE55FF" w:rsidP="00EE55FF">
      <w:pPr>
        <w:jc w:val="both"/>
        <w:rPr>
          <w:rFonts w:ascii="Arial" w:hAnsi="Arial" w:cs="Arial"/>
          <w:b/>
          <w:bCs/>
          <w:color w:val="002060"/>
          <w:sz w:val="20"/>
          <w:szCs w:val="20"/>
          <w:lang w:eastAsia="zh-CN"/>
          <w14:ligatures w14:val="none"/>
        </w:rPr>
      </w:pPr>
      <w:r w:rsidRPr="00EE55FF">
        <w:rPr>
          <w:rFonts w:ascii="Arial" w:hAnsi="Arial" w:cs="Arial"/>
          <w:b/>
          <w:bCs/>
          <w:color w:val="002060"/>
          <w:sz w:val="20"/>
          <w:szCs w:val="20"/>
        </w:rPr>
        <w:t>Evropska komisija je potrdila podporo kmetom iz 22 držav članic, tudi iz Slovenije</w:t>
      </w:r>
    </w:p>
    <w:p w14:paraId="20BF0F65" w14:textId="77777777" w:rsidR="00EE55FF" w:rsidRPr="00EE55FF" w:rsidRDefault="00EE55FF" w:rsidP="00EE55FF">
      <w:pPr>
        <w:rPr>
          <w:color w:val="002060"/>
        </w:rPr>
      </w:pPr>
    </w:p>
    <w:p w14:paraId="5CBE4652" w14:textId="77777777" w:rsidR="00EE55FF" w:rsidRPr="00EE55FF" w:rsidRDefault="00EE55FF" w:rsidP="00EE55FF">
      <w:pPr>
        <w:jc w:val="both"/>
        <w:rPr>
          <w:rFonts w:ascii="Arial" w:hAnsi="Arial" w:cs="Arial"/>
          <w:color w:val="002060"/>
          <w:sz w:val="20"/>
          <w:szCs w:val="20"/>
          <w:lang w:eastAsia="zh-CN"/>
          <w14:ligatures w14:val="none"/>
        </w:rPr>
      </w:pPr>
      <w:r w:rsidRPr="00EE55FF">
        <w:rPr>
          <w:rFonts w:ascii="Arial" w:hAnsi="Arial" w:cs="Arial"/>
          <w:color w:val="002060"/>
          <w:sz w:val="20"/>
          <w:szCs w:val="20"/>
        </w:rPr>
        <w:t>Evropska komisija predlaga mobilizacijo dodatnih evropskih sredstev za kmete v EU, ki se soočajo s slabimi vremenskimi razmerami, visokimi vhodnimi stroški ter različnimi težavami, povezanimi s trgom in trgovino. Novi sveženj podpore v višini 330 milijonov evrov bo prejelo 22 držav članic med katerimi je tudi Slovenija. Države lahko to podporo EU dopolnijo z nacionalnimi sredstvi do 200 odstotkov vrednosti. Slovenija prejme dobrih 1,2 milijona evrov.</w:t>
      </w:r>
    </w:p>
    <w:p w14:paraId="0A9C8D36" w14:textId="77777777" w:rsidR="00EE55FF" w:rsidRPr="00EE55FF" w:rsidRDefault="00EE55FF" w:rsidP="00EE55FF">
      <w:pPr>
        <w:jc w:val="both"/>
        <w:rPr>
          <w:rFonts w:ascii="Arial" w:hAnsi="Arial" w:cs="Arial"/>
          <w:color w:val="002060"/>
          <w:sz w:val="20"/>
          <w:szCs w:val="20"/>
        </w:rPr>
      </w:pPr>
    </w:p>
    <w:p w14:paraId="32E206CB" w14:textId="77777777" w:rsidR="00EE55FF" w:rsidRPr="00EE55FF" w:rsidRDefault="00EE55FF" w:rsidP="00EE55FF">
      <w:pPr>
        <w:jc w:val="both"/>
        <w:rPr>
          <w:rFonts w:ascii="Arial" w:hAnsi="Arial" w:cs="Arial"/>
          <w:color w:val="002060"/>
          <w:sz w:val="20"/>
          <w:szCs w:val="20"/>
        </w:rPr>
      </w:pPr>
      <w:r w:rsidRPr="00EE55FF">
        <w:rPr>
          <w:rFonts w:ascii="Arial" w:hAnsi="Arial" w:cs="Arial"/>
          <w:color w:val="002060"/>
          <w:sz w:val="20"/>
          <w:szCs w:val="20"/>
        </w:rPr>
        <w:t>Več:</w:t>
      </w:r>
    </w:p>
    <w:p w14:paraId="242B59BD" w14:textId="77777777" w:rsidR="00EE55FF" w:rsidRPr="00EE55FF" w:rsidRDefault="00000000" w:rsidP="00EE55FF">
      <w:pPr>
        <w:jc w:val="both"/>
        <w:rPr>
          <w:rFonts w:ascii="Arial" w:hAnsi="Arial" w:cs="Arial"/>
          <w:color w:val="002060"/>
          <w:sz w:val="20"/>
          <w:szCs w:val="20"/>
        </w:rPr>
      </w:pPr>
      <w:hyperlink r:id="rId13" w:history="1">
        <w:r w:rsidR="00EE55FF" w:rsidRPr="009F2D48">
          <w:rPr>
            <w:rStyle w:val="Hyperlink"/>
            <w:rFonts w:ascii="Arial" w:hAnsi="Arial" w:cs="Arial"/>
            <w:color w:val="FFC000"/>
            <w:sz w:val="20"/>
            <w:szCs w:val="20"/>
          </w:rPr>
          <w:t>Sporočilo Evropske komisije</w:t>
        </w:r>
      </w:hyperlink>
    </w:p>
    <w:p w14:paraId="2E1E5FC8" w14:textId="77777777" w:rsidR="00EE55FF" w:rsidRDefault="00EE55FF" w:rsidP="00EE55FF"/>
    <w:p w14:paraId="46A59832" w14:textId="77777777" w:rsidR="00EE55FF" w:rsidRPr="009F2D48" w:rsidRDefault="00EE55FF" w:rsidP="00EE55FF">
      <w:pPr>
        <w:jc w:val="both"/>
        <w:rPr>
          <w:rFonts w:ascii="Arial" w:hAnsi="Arial" w:cs="Arial"/>
          <w:color w:val="002060"/>
          <w:sz w:val="20"/>
          <w:szCs w:val="20"/>
        </w:rPr>
      </w:pPr>
    </w:p>
    <w:p w14:paraId="3A3CE87A" w14:textId="77777777" w:rsidR="009F2D48" w:rsidRPr="009F2D48" w:rsidRDefault="009F2D48" w:rsidP="009F2D48">
      <w:pPr>
        <w:rPr>
          <w:color w:val="002060"/>
          <w:lang w:val="sl-SI"/>
        </w:rPr>
      </w:pPr>
    </w:p>
    <w:p w14:paraId="4DAF5E9F" w14:textId="77777777" w:rsidR="009F2D48" w:rsidRPr="009F2D48" w:rsidRDefault="009F2D48" w:rsidP="009F2D48">
      <w:pPr>
        <w:jc w:val="both"/>
        <w:rPr>
          <w:rFonts w:ascii="Arial" w:hAnsi="Arial" w:cs="Arial"/>
          <w:b/>
          <w:bCs/>
          <w:color w:val="002060"/>
          <w:sz w:val="20"/>
          <w:szCs w:val="20"/>
        </w:rPr>
      </w:pPr>
      <w:r w:rsidRPr="009F2D48">
        <w:rPr>
          <w:rFonts w:ascii="Arial" w:hAnsi="Arial" w:cs="Arial"/>
          <w:b/>
          <w:bCs/>
          <w:color w:val="002060"/>
          <w:sz w:val="20"/>
          <w:szCs w:val="20"/>
        </w:rPr>
        <w:t>Evropska komisija je sprejela seznam bistvenih storitev za enajst sektorjev</w:t>
      </w:r>
    </w:p>
    <w:p w14:paraId="5BCDCC7B" w14:textId="77777777" w:rsidR="009F2D48" w:rsidRPr="009F2D48" w:rsidRDefault="009F2D48" w:rsidP="009F2D48">
      <w:pPr>
        <w:jc w:val="both"/>
        <w:rPr>
          <w:rFonts w:ascii="Arial" w:hAnsi="Arial" w:cs="Arial"/>
          <w:color w:val="002060"/>
          <w:sz w:val="20"/>
          <w:szCs w:val="20"/>
        </w:rPr>
      </w:pPr>
    </w:p>
    <w:p w14:paraId="012A78E8"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Evropska komisija je sprejela seznam bistvenih storitev za enajst sektorjev, ki jih zajema direktiva o odpornosti kritičnih subjektov. Na podlagi tega seznama bodo morale države članice do 17. julija 2026 opredeliti kritične subjekte za sektorje iz navedene direktive. Ta seznam bistvenih storitev bodo uporabile za izvajanje ocen tveganja in nato za opredelitev kritičnih subjektov. Ko bodo kritični subjekti opredeljeni, bodo morale sprejeti ukrepe za povečanje njihove odpornosti.  Kritični subjekti zagotavljajo bistvene storitve pri ohranjanju ključnih družbenih funkcij, podpiranju gospodarstva, zagotavljanju javnega zdravja in varnosti ter ohranjanju okolja. </w:t>
      </w:r>
    </w:p>
    <w:p w14:paraId="556D172D" w14:textId="77777777" w:rsidR="009F2D48" w:rsidRPr="009F2D48" w:rsidRDefault="009F2D48" w:rsidP="009F2D48">
      <w:pPr>
        <w:jc w:val="both"/>
        <w:rPr>
          <w:rFonts w:ascii="Arial" w:hAnsi="Arial" w:cs="Arial"/>
          <w:color w:val="002060"/>
          <w:sz w:val="20"/>
          <w:szCs w:val="20"/>
        </w:rPr>
      </w:pPr>
    </w:p>
    <w:p w14:paraId="551EEA58"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Več:</w:t>
      </w:r>
    </w:p>
    <w:p w14:paraId="1E1124D6" w14:textId="77777777" w:rsidR="009F2D48" w:rsidRPr="009F2D48" w:rsidRDefault="00000000" w:rsidP="009F2D48">
      <w:pPr>
        <w:jc w:val="both"/>
        <w:rPr>
          <w:rFonts w:ascii="Arial" w:hAnsi="Arial" w:cs="Arial"/>
          <w:color w:val="FFC000"/>
          <w:sz w:val="20"/>
          <w:szCs w:val="20"/>
        </w:rPr>
      </w:pPr>
      <w:hyperlink r:id="rId14" w:history="1">
        <w:r w:rsidR="009F2D48" w:rsidRPr="009F2D48">
          <w:rPr>
            <w:rStyle w:val="Hyperlink"/>
            <w:rFonts w:ascii="Arial" w:hAnsi="Arial" w:cs="Arial"/>
            <w:color w:val="FFC000"/>
            <w:sz w:val="20"/>
            <w:szCs w:val="20"/>
          </w:rPr>
          <w:t>Seznam</w:t>
        </w:r>
      </w:hyperlink>
    </w:p>
    <w:p w14:paraId="12BEEAAE"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 xml:space="preserve">in </w:t>
      </w:r>
    </w:p>
    <w:p w14:paraId="413DCCE2" w14:textId="77777777" w:rsidR="009F2D48" w:rsidRPr="009F2D48" w:rsidRDefault="00000000" w:rsidP="009F2D48">
      <w:pPr>
        <w:jc w:val="both"/>
        <w:rPr>
          <w:rFonts w:ascii="Arial" w:hAnsi="Arial" w:cs="Arial"/>
          <w:color w:val="FFC000"/>
          <w:sz w:val="20"/>
          <w:szCs w:val="20"/>
        </w:rPr>
      </w:pPr>
      <w:hyperlink r:id="rId15" w:history="1">
        <w:r w:rsidR="009F2D48" w:rsidRPr="009F2D48">
          <w:rPr>
            <w:rStyle w:val="Hyperlink"/>
            <w:rFonts w:ascii="Arial" w:hAnsi="Arial" w:cs="Arial"/>
            <w:color w:val="FFC000"/>
            <w:sz w:val="20"/>
            <w:szCs w:val="20"/>
          </w:rPr>
          <w:t>Direktiva</w:t>
        </w:r>
      </w:hyperlink>
    </w:p>
    <w:p w14:paraId="7AE9D25D" w14:textId="77777777" w:rsidR="009F2D48" w:rsidRPr="009F2D48" w:rsidRDefault="009F2D48" w:rsidP="009F2D48">
      <w:pPr>
        <w:jc w:val="both"/>
        <w:rPr>
          <w:rFonts w:ascii="Arial" w:hAnsi="Arial" w:cs="Arial"/>
          <w:color w:val="002060"/>
          <w:sz w:val="20"/>
          <w:szCs w:val="20"/>
        </w:rPr>
      </w:pPr>
    </w:p>
    <w:p w14:paraId="773838EF" w14:textId="77777777" w:rsidR="009F2D48" w:rsidRPr="009F2D48" w:rsidRDefault="009F2D48" w:rsidP="009F2D48">
      <w:pPr>
        <w:jc w:val="both"/>
        <w:rPr>
          <w:rFonts w:ascii="Arial" w:hAnsi="Arial" w:cs="Arial"/>
          <w:color w:val="002060"/>
          <w:sz w:val="20"/>
          <w:szCs w:val="20"/>
        </w:rPr>
      </w:pPr>
    </w:p>
    <w:p w14:paraId="42ED3278" w14:textId="77777777" w:rsidR="009F2D48" w:rsidRPr="009F2D48" w:rsidRDefault="009F2D48" w:rsidP="009F2D48">
      <w:pPr>
        <w:jc w:val="both"/>
        <w:rPr>
          <w:rFonts w:ascii="Arial" w:hAnsi="Arial" w:cs="Arial"/>
          <w:color w:val="002060"/>
          <w:sz w:val="20"/>
          <w:szCs w:val="20"/>
        </w:rPr>
      </w:pPr>
    </w:p>
    <w:p w14:paraId="20B5F2FF" w14:textId="77777777" w:rsidR="009F2D48" w:rsidRPr="009F2D48" w:rsidRDefault="009F2D48" w:rsidP="009F2D48">
      <w:pPr>
        <w:jc w:val="both"/>
        <w:rPr>
          <w:rFonts w:ascii="Arial" w:hAnsi="Arial" w:cs="Arial"/>
          <w:b/>
          <w:bCs/>
          <w:color w:val="002060"/>
          <w:sz w:val="20"/>
          <w:szCs w:val="20"/>
        </w:rPr>
      </w:pPr>
      <w:r w:rsidRPr="009F2D48">
        <w:rPr>
          <w:rFonts w:ascii="Arial" w:hAnsi="Arial" w:cs="Arial"/>
          <w:b/>
          <w:bCs/>
          <w:color w:val="002060"/>
          <w:sz w:val="20"/>
          <w:szCs w:val="20"/>
        </w:rPr>
        <w:t>Objavljena je študija o sezonskih delavcih in mobilnosti delovne sile znotraj EU</w:t>
      </w:r>
    </w:p>
    <w:p w14:paraId="7F37EC76" w14:textId="77777777" w:rsidR="009F2D48" w:rsidRPr="009F2D48" w:rsidRDefault="009F2D48" w:rsidP="009F2D48">
      <w:pPr>
        <w:jc w:val="both"/>
        <w:rPr>
          <w:rFonts w:ascii="Arial" w:hAnsi="Arial" w:cs="Arial"/>
          <w:color w:val="002060"/>
          <w:sz w:val="20"/>
          <w:szCs w:val="20"/>
        </w:rPr>
      </w:pPr>
    </w:p>
    <w:p w14:paraId="1F77642E"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Evropska komisija je objavila študijo o sezonskih delavcih in mobilnosti delovne sile znotraj EU, ki se na splošno osredotoča na to, kako so se sčasoma spremenili pogoji sezonskih delavcev znotraj EU. Čeprav obstajajo posamezni primeri izboljšav, se stanje na splošno ni izboljšalo, v zaključku študije med drugim navajajo avtorji.</w:t>
      </w:r>
    </w:p>
    <w:p w14:paraId="424AEF2F" w14:textId="77777777" w:rsidR="009F2D48" w:rsidRPr="009F2D48" w:rsidRDefault="009F2D48" w:rsidP="009F2D48">
      <w:pPr>
        <w:jc w:val="both"/>
        <w:rPr>
          <w:rFonts w:ascii="Arial" w:hAnsi="Arial" w:cs="Arial"/>
          <w:color w:val="002060"/>
          <w:sz w:val="20"/>
          <w:szCs w:val="20"/>
        </w:rPr>
      </w:pPr>
    </w:p>
    <w:p w14:paraId="4FC6B9F0"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Več:</w:t>
      </w:r>
    </w:p>
    <w:p w14:paraId="15D7FA31" w14:textId="77777777" w:rsidR="009F2D48" w:rsidRPr="009F2D48" w:rsidRDefault="00000000" w:rsidP="009F2D48">
      <w:pPr>
        <w:jc w:val="both"/>
        <w:rPr>
          <w:color w:val="FFC000"/>
        </w:rPr>
      </w:pPr>
      <w:hyperlink r:id="rId16" w:history="1">
        <w:r w:rsidR="009F2D48" w:rsidRPr="009F2D48">
          <w:rPr>
            <w:rStyle w:val="Hyperlink"/>
            <w:rFonts w:ascii="Arial" w:hAnsi="Arial" w:cs="Arial"/>
            <w:color w:val="FFC000"/>
            <w:sz w:val="20"/>
            <w:szCs w:val="20"/>
          </w:rPr>
          <w:t>Sporočilo s povezavo na poročilo</w:t>
        </w:r>
      </w:hyperlink>
    </w:p>
    <w:p w14:paraId="19A5E0A7" w14:textId="77777777" w:rsidR="009F2D48" w:rsidRPr="009F2D48" w:rsidRDefault="009F2D48" w:rsidP="009F2D48">
      <w:pPr>
        <w:jc w:val="both"/>
        <w:rPr>
          <w:rFonts w:ascii="Arial" w:hAnsi="Arial" w:cs="Arial"/>
          <w:color w:val="002060"/>
          <w:sz w:val="20"/>
          <w:szCs w:val="20"/>
        </w:rPr>
      </w:pPr>
    </w:p>
    <w:p w14:paraId="0BA818A6" w14:textId="77777777" w:rsidR="009F2D48" w:rsidRPr="009F2D48" w:rsidRDefault="009F2D48" w:rsidP="009F2D48">
      <w:pPr>
        <w:jc w:val="both"/>
        <w:rPr>
          <w:rFonts w:ascii="Arial" w:hAnsi="Arial" w:cs="Arial"/>
          <w:color w:val="002060"/>
          <w:sz w:val="20"/>
          <w:szCs w:val="20"/>
        </w:rPr>
      </w:pPr>
    </w:p>
    <w:p w14:paraId="4AC651B3" w14:textId="77777777" w:rsidR="009F2D48" w:rsidRPr="009F2D48" w:rsidRDefault="009F2D48" w:rsidP="009F2D48">
      <w:pPr>
        <w:jc w:val="both"/>
        <w:rPr>
          <w:rFonts w:ascii="Arial" w:hAnsi="Arial" w:cs="Arial"/>
          <w:color w:val="002060"/>
          <w:sz w:val="20"/>
          <w:szCs w:val="20"/>
        </w:rPr>
      </w:pPr>
    </w:p>
    <w:p w14:paraId="35391F1D" w14:textId="77777777" w:rsidR="009F2D48" w:rsidRPr="009F2D48" w:rsidRDefault="009F2D48" w:rsidP="009F2D48">
      <w:pPr>
        <w:jc w:val="both"/>
        <w:rPr>
          <w:rFonts w:ascii="Arial" w:hAnsi="Arial" w:cs="Arial"/>
          <w:b/>
          <w:bCs/>
          <w:color w:val="002060"/>
          <w:sz w:val="20"/>
          <w:szCs w:val="20"/>
        </w:rPr>
      </w:pPr>
      <w:r w:rsidRPr="009F2D48">
        <w:rPr>
          <w:rFonts w:ascii="Arial" w:hAnsi="Arial" w:cs="Arial"/>
          <w:b/>
          <w:bCs/>
          <w:color w:val="002060"/>
          <w:sz w:val="20"/>
          <w:szCs w:val="20"/>
        </w:rPr>
        <w:lastRenderedPageBreak/>
        <w:t>Odprta sta razpisa dveh pilotnih projektov s področja športa za prijave partnerjev</w:t>
      </w:r>
    </w:p>
    <w:p w14:paraId="6B6B6244" w14:textId="77777777" w:rsidR="009F2D48" w:rsidRPr="009F2D48" w:rsidRDefault="009F2D48" w:rsidP="009F2D48">
      <w:pPr>
        <w:jc w:val="both"/>
        <w:rPr>
          <w:rFonts w:ascii="Arial" w:hAnsi="Arial" w:cs="Arial"/>
          <w:color w:val="002060"/>
          <w:sz w:val="20"/>
          <w:szCs w:val="20"/>
        </w:rPr>
      </w:pPr>
    </w:p>
    <w:p w14:paraId="11A5B687"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Do 17. oktobra sta odprta razpisa dveh pilotnih projektov s področja športa prek katerih izvajalci iščejo partnerje. Projekt Šport za ljudi in planet (Sport for People and Planet) se osredotoča na to, kako izkoristiti moč športa, da bi evropske državljane ozavestili o pomenu trajnosti in jim pomagali razumeti, kako lahko prispevajo k socialni koheziji in varstvu okolja. Cilji predlaganega projekta so povečati ozaveščenost, spodbuditi vedenje in spodbuditi razmišljanje v evropski družbi o tem, kako lahko šport omogoči in pospeši družbeno in okoljsko preobrazbo, ter pritegniti državljane EU k dejavnemu sodelovanju pri trajnostnih ukrepih z uporabo komunikacijske moči športa, njegovih velikih dogodkov in vodilnih ambasadorjev. Projekt Podpora športu – nujni športni ukrepi za mlade (Sport Support - emergency sport actions for youth) se osredotoča na spodbujanje vključevanja otrok in mladih, ki so jih prizadele humanitarne krize in množične migracije v okviru vojne, v skupnost, da bi lažje premagali travme, se prilagodili novemu okolju, ustvarili vezi s skupnostmi, ki jih začasno gostijo, ter spodbujali njihovo duševno in telesno dobro počutje. Športne dejavnosti, ki imajo moč združevanja ljudi, naj bi pomagale pri interakciji s skupnostjo gostiteljico ter olajšale vključevanje v izobraževalni sistem in na trg dela.</w:t>
      </w:r>
    </w:p>
    <w:p w14:paraId="1D581B35" w14:textId="77777777" w:rsidR="009F2D48" w:rsidRPr="009F2D48" w:rsidRDefault="009F2D48" w:rsidP="009F2D48">
      <w:pPr>
        <w:jc w:val="both"/>
        <w:rPr>
          <w:rFonts w:ascii="Arial" w:hAnsi="Arial" w:cs="Arial"/>
          <w:color w:val="002060"/>
          <w:sz w:val="20"/>
          <w:szCs w:val="20"/>
        </w:rPr>
      </w:pPr>
    </w:p>
    <w:p w14:paraId="581882A4"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Več:</w:t>
      </w:r>
    </w:p>
    <w:p w14:paraId="3F58A4DF" w14:textId="77777777" w:rsidR="009F2D48" w:rsidRPr="009F2D48" w:rsidRDefault="00000000" w:rsidP="009F2D48">
      <w:pPr>
        <w:jc w:val="both"/>
        <w:rPr>
          <w:rFonts w:ascii="Arial" w:hAnsi="Arial" w:cs="Arial"/>
          <w:color w:val="FFC000"/>
          <w:sz w:val="20"/>
          <w:szCs w:val="20"/>
        </w:rPr>
      </w:pPr>
      <w:hyperlink r:id="rId17" w:history="1">
        <w:r w:rsidR="009F2D48" w:rsidRPr="009F2D48">
          <w:rPr>
            <w:rStyle w:val="Hyperlink"/>
            <w:rFonts w:ascii="Arial" w:hAnsi="Arial" w:cs="Arial"/>
            <w:color w:val="FFC000"/>
            <w:sz w:val="20"/>
            <w:szCs w:val="20"/>
          </w:rPr>
          <w:t>Razpis projekta Šport za ljudi in planet</w:t>
        </w:r>
      </w:hyperlink>
    </w:p>
    <w:p w14:paraId="46B9C9F1"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in</w:t>
      </w:r>
    </w:p>
    <w:p w14:paraId="6084EE9A" w14:textId="77777777" w:rsidR="009F2D48" w:rsidRPr="009F2D48" w:rsidRDefault="00000000" w:rsidP="009F2D48">
      <w:pPr>
        <w:jc w:val="both"/>
        <w:rPr>
          <w:rFonts w:ascii="Arial" w:hAnsi="Arial" w:cs="Arial"/>
          <w:color w:val="FFC000"/>
          <w:sz w:val="20"/>
          <w:szCs w:val="20"/>
        </w:rPr>
      </w:pPr>
      <w:hyperlink r:id="rId18" w:history="1">
        <w:r w:rsidR="009F2D48" w:rsidRPr="009F2D48">
          <w:rPr>
            <w:rStyle w:val="Hyperlink"/>
            <w:rFonts w:ascii="Arial" w:hAnsi="Arial" w:cs="Arial"/>
            <w:color w:val="FFC000"/>
            <w:sz w:val="20"/>
            <w:szCs w:val="20"/>
          </w:rPr>
          <w:t>Razpis projekta Podpora športu</w:t>
        </w:r>
      </w:hyperlink>
    </w:p>
    <w:p w14:paraId="66C271CB" w14:textId="77777777" w:rsidR="009F2D48" w:rsidRPr="009F2D48" w:rsidRDefault="009F2D48" w:rsidP="009F2D48">
      <w:pPr>
        <w:rPr>
          <w:color w:val="002060"/>
          <w:lang w:val="sl-SI"/>
        </w:rPr>
      </w:pPr>
    </w:p>
    <w:p w14:paraId="4C946F82" w14:textId="77777777" w:rsidR="009F2D48" w:rsidRPr="009F2D48" w:rsidRDefault="009F2D48" w:rsidP="009F2D48">
      <w:pPr>
        <w:rPr>
          <w:color w:val="002060"/>
          <w:lang w:val="sl-SI"/>
        </w:rPr>
      </w:pPr>
    </w:p>
    <w:p w14:paraId="7586A43E" w14:textId="77777777" w:rsidR="009F2D48" w:rsidRPr="009F2D48" w:rsidRDefault="009F2D48" w:rsidP="009F2D48">
      <w:pPr>
        <w:rPr>
          <w:color w:val="002060"/>
          <w:lang w:val="sl-SI"/>
        </w:rPr>
      </w:pPr>
    </w:p>
    <w:p w14:paraId="4957CC71" w14:textId="77777777" w:rsidR="009F2D48" w:rsidRPr="009F2D48" w:rsidRDefault="009F2D48" w:rsidP="009F2D48">
      <w:pPr>
        <w:jc w:val="both"/>
        <w:rPr>
          <w:rFonts w:ascii="Arial" w:hAnsi="Arial" w:cs="Arial"/>
          <w:b/>
          <w:bCs/>
          <w:color w:val="002060"/>
          <w:sz w:val="20"/>
          <w:szCs w:val="20"/>
        </w:rPr>
      </w:pPr>
      <w:r w:rsidRPr="009F2D48">
        <w:rPr>
          <w:rFonts w:ascii="Arial" w:hAnsi="Arial" w:cs="Arial"/>
          <w:b/>
          <w:bCs/>
          <w:color w:val="002060"/>
          <w:sz w:val="20"/>
          <w:szCs w:val="20"/>
        </w:rPr>
        <w:t>Uporaba osebnih podatkov mora ostati sorazmerna in poštena</w:t>
      </w:r>
    </w:p>
    <w:p w14:paraId="484AF6DF" w14:textId="77777777" w:rsidR="009F2D48" w:rsidRPr="009F2D48" w:rsidRDefault="009F2D48" w:rsidP="009F2D48">
      <w:pPr>
        <w:jc w:val="both"/>
        <w:rPr>
          <w:rFonts w:ascii="Arial" w:hAnsi="Arial" w:cs="Arial"/>
          <w:color w:val="002060"/>
          <w:sz w:val="20"/>
          <w:szCs w:val="20"/>
        </w:rPr>
      </w:pPr>
    </w:p>
    <w:p w14:paraId="7EEDB175"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 xml:space="preserve">Evropski nadzornik za varstvo podatkov (EDPS) je objavil mnenje o predlogu uredbe o okviru za dostop do finančnih podatkov ter o predlogu uredbe in direktive o plačilnih storitvah na notranjem trgu EU. Cilj obeh predlogov je spodbuditi izmenjavo podatkov za razširitev ponudbe finančnih storitev in produktov, hkrati pa posameznikom ali organizacijam zagotoviti nadzor nad obdelavo njihovih finančnih podatkov. V skladu s predlogoma bi posamezniki in organizacije upravljali dostop do svojih finančnih podatkov z uporabo nadzornih plošč, ki bi jih zagotovile finančne institucije. Nadzornik poudarja, da bi bilo treba za dosego tega cilja posameznikom ali organizacijam </w:t>
      </w:r>
      <w:r w:rsidRPr="009F2D48">
        <w:rPr>
          <w:rFonts w:ascii="Arial" w:hAnsi="Arial" w:cs="Arial"/>
          <w:color w:val="002060"/>
          <w:sz w:val="20"/>
          <w:szCs w:val="20"/>
        </w:rPr>
        <w:t>zagotoviti popolne, točne in jasne informacije o ponudniku finančne storitve, ki zahteva dostop do njihovih podatkov. Sporočiti bi bilo treba tudi informacije o vrsti izdelka, plačila ali storitve, za katero bi se uporabili posameznikovi osebni podatki, in vrste zahtevanih podatkov.</w:t>
      </w:r>
    </w:p>
    <w:p w14:paraId="7FBDDDA5" w14:textId="77777777" w:rsidR="009F2D48" w:rsidRPr="009F2D48" w:rsidRDefault="009F2D48" w:rsidP="009F2D48">
      <w:pPr>
        <w:jc w:val="both"/>
        <w:rPr>
          <w:rFonts w:ascii="Arial" w:hAnsi="Arial" w:cs="Arial"/>
          <w:color w:val="002060"/>
          <w:sz w:val="20"/>
          <w:szCs w:val="20"/>
        </w:rPr>
      </w:pPr>
    </w:p>
    <w:p w14:paraId="31ED04CB"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Več:</w:t>
      </w:r>
    </w:p>
    <w:p w14:paraId="6CDDB157" w14:textId="77777777" w:rsidR="009F2D48" w:rsidRPr="009F2D48" w:rsidRDefault="00000000" w:rsidP="009F2D48">
      <w:pPr>
        <w:jc w:val="both"/>
        <w:rPr>
          <w:rFonts w:ascii="Arial" w:hAnsi="Arial" w:cs="Arial"/>
          <w:color w:val="FFC000"/>
          <w:sz w:val="20"/>
          <w:szCs w:val="20"/>
        </w:rPr>
      </w:pPr>
      <w:hyperlink r:id="rId19" w:history="1">
        <w:r w:rsidR="009F2D48" w:rsidRPr="009F2D48">
          <w:rPr>
            <w:rStyle w:val="Hyperlink"/>
            <w:rFonts w:ascii="Arial" w:hAnsi="Arial" w:cs="Arial"/>
            <w:color w:val="FFC000"/>
            <w:sz w:val="20"/>
            <w:szCs w:val="20"/>
          </w:rPr>
          <w:t>Mnenje o predlogu uredbe o okviru za dostop do finančnih podatkov</w:t>
        </w:r>
      </w:hyperlink>
    </w:p>
    <w:p w14:paraId="0FE94F65" w14:textId="77777777" w:rsidR="009F2D48" w:rsidRPr="009F2D48" w:rsidRDefault="009F2D48" w:rsidP="009F2D48">
      <w:pPr>
        <w:jc w:val="both"/>
        <w:rPr>
          <w:rFonts w:ascii="Arial" w:hAnsi="Arial" w:cs="Arial"/>
          <w:color w:val="002060"/>
          <w:sz w:val="20"/>
          <w:szCs w:val="20"/>
        </w:rPr>
      </w:pPr>
      <w:r w:rsidRPr="009F2D48">
        <w:rPr>
          <w:rFonts w:ascii="Arial" w:hAnsi="Arial" w:cs="Arial"/>
          <w:color w:val="002060"/>
          <w:sz w:val="20"/>
          <w:szCs w:val="20"/>
        </w:rPr>
        <w:t>in</w:t>
      </w:r>
    </w:p>
    <w:p w14:paraId="049781AE" w14:textId="77777777" w:rsidR="009F2D48" w:rsidRPr="009F2D48" w:rsidRDefault="00000000" w:rsidP="009F2D48">
      <w:pPr>
        <w:jc w:val="both"/>
        <w:rPr>
          <w:rFonts w:ascii="Arial" w:hAnsi="Arial" w:cs="Arial"/>
          <w:color w:val="FFC000"/>
          <w:sz w:val="20"/>
          <w:szCs w:val="20"/>
        </w:rPr>
      </w:pPr>
      <w:hyperlink r:id="rId20" w:history="1">
        <w:r w:rsidR="009F2D48" w:rsidRPr="009F2D48">
          <w:rPr>
            <w:rStyle w:val="Hyperlink"/>
            <w:rFonts w:ascii="Arial" w:hAnsi="Arial" w:cs="Arial"/>
            <w:color w:val="FFC000"/>
            <w:sz w:val="20"/>
            <w:szCs w:val="20"/>
          </w:rPr>
          <w:t>Mnenje o  predlogu uredbe o plačilnih storitvah na notranjem trgu in predlogu direktive o plačilnih storitvah in storitvah izdajanja elektronskega denarja na notranjem trgu</w:t>
        </w:r>
      </w:hyperlink>
    </w:p>
    <w:p w14:paraId="4356953A" w14:textId="77777777" w:rsidR="009F2D48" w:rsidRDefault="009F2D48" w:rsidP="009F2D48">
      <w:pPr>
        <w:rPr>
          <w:lang w:val="sl-SI"/>
        </w:rPr>
      </w:pPr>
    </w:p>
    <w:p w14:paraId="28024581" w14:textId="77777777" w:rsidR="00EE55FF" w:rsidRDefault="00EE55FF" w:rsidP="00EE55FF"/>
    <w:p w14:paraId="79988EE2" w14:textId="77777777" w:rsidR="0073346A" w:rsidRPr="00EE55FF" w:rsidRDefault="0073346A" w:rsidP="004A5B29"/>
    <w:sectPr w:rsidR="0073346A" w:rsidRPr="00EE55FF" w:rsidSect="00EE55F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862E" w14:textId="77777777" w:rsidR="001D0A6C" w:rsidRDefault="001D0A6C" w:rsidP="006C627B">
      <w:r>
        <w:separator/>
      </w:r>
    </w:p>
  </w:endnote>
  <w:endnote w:type="continuationSeparator" w:id="0">
    <w:p w14:paraId="4D7F0134" w14:textId="77777777" w:rsidR="001D0A6C" w:rsidRDefault="001D0A6C" w:rsidP="006C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5AC9" w14:textId="77777777" w:rsidR="002D3834" w:rsidRDefault="002D3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4B55" w14:textId="77777777" w:rsidR="002D3834" w:rsidRDefault="002D3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124D" w14:textId="77777777" w:rsidR="002D3834" w:rsidRDefault="002D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3732" w14:textId="77777777" w:rsidR="001D0A6C" w:rsidRDefault="001D0A6C" w:rsidP="006C627B">
      <w:r>
        <w:separator/>
      </w:r>
    </w:p>
  </w:footnote>
  <w:footnote w:type="continuationSeparator" w:id="0">
    <w:p w14:paraId="6B4D6FCA" w14:textId="77777777" w:rsidR="001D0A6C" w:rsidRDefault="001D0A6C" w:rsidP="006C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FC5D" w14:textId="77777777" w:rsidR="002D3834" w:rsidRDefault="002D3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E0A5" w14:textId="77777777" w:rsidR="002D3834" w:rsidRDefault="002D3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6FD3" w14:textId="78427681" w:rsidR="006C627B" w:rsidRDefault="006C627B" w:rsidP="006C627B">
    <w:pPr>
      <w:pStyle w:val="Header"/>
      <w:tabs>
        <w:tab w:val="clear" w:pos="4513"/>
        <w:tab w:val="clear" w:pos="9026"/>
        <w:tab w:val="left" w:pos="6030"/>
      </w:tabs>
    </w:pPr>
    <w:r>
      <w:tab/>
    </w:r>
    <w:r w:rsidR="002D3834">
      <w:rPr>
        <w:noProof/>
      </w:rPr>
      <w:drawing>
        <wp:inline distT="0" distB="0" distL="0" distR="0" wp14:anchorId="07D13FA4" wp14:editId="404D805E">
          <wp:extent cx="5724525" cy="2581275"/>
          <wp:effectExtent l="0" t="0" r="9525" b="9525"/>
          <wp:docPr id="115256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2581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8D"/>
    <w:rsid w:val="00165F93"/>
    <w:rsid w:val="001D0A6C"/>
    <w:rsid w:val="002D3834"/>
    <w:rsid w:val="004A5B29"/>
    <w:rsid w:val="004F6D6A"/>
    <w:rsid w:val="006A6D62"/>
    <w:rsid w:val="006C627B"/>
    <w:rsid w:val="0073346A"/>
    <w:rsid w:val="009F2D48"/>
    <w:rsid w:val="00AA02BE"/>
    <w:rsid w:val="00B23255"/>
    <w:rsid w:val="00BA348D"/>
    <w:rsid w:val="00BF38E4"/>
    <w:rsid w:val="00C4246C"/>
    <w:rsid w:val="00EE55FF"/>
    <w:rsid w:val="00F5677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FF6C"/>
  <w15:chartTrackingRefBased/>
  <w15:docId w15:val="{FCEF30AC-9792-449D-8875-B5532EC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FF"/>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46C"/>
    <w:rPr>
      <w:color w:val="0563C1" w:themeColor="hyperlink"/>
      <w:u w:val="single"/>
    </w:rPr>
  </w:style>
  <w:style w:type="character" w:styleId="UnresolvedMention">
    <w:name w:val="Unresolved Mention"/>
    <w:basedOn w:val="DefaultParagraphFont"/>
    <w:uiPriority w:val="99"/>
    <w:semiHidden/>
    <w:unhideWhenUsed/>
    <w:rsid w:val="00C4246C"/>
    <w:rPr>
      <w:color w:val="605E5C"/>
      <w:shd w:val="clear" w:color="auto" w:fill="E1DFDD"/>
    </w:rPr>
  </w:style>
  <w:style w:type="paragraph" w:styleId="Header">
    <w:name w:val="header"/>
    <w:basedOn w:val="Normal"/>
    <w:link w:val="HeaderChar"/>
    <w:uiPriority w:val="99"/>
    <w:unhideWhenUsed/>
    <w:rsid w:val="006C627B"/>
    <w:pPr>
      <w:tabs>
        <w:tab w:val="center" w:pos="4513"/>
        <w:tab w:val="right" w:pos="9026"/>
      </w:tabs>
    </w:pPr>
    <w:rPr>
      <w:rFonts w:asciiTheme="minorHAnsi" w:hAnsiTheme="minorHAnsi" w:cstheme="minorBidi"/>
      <w14:ligatures w14:val="none"/>
    </w:rPr>
  </w:style>
  <w:style w:type="character" w:customStyle="1" w:styleId="HeaderChar">
    <w:name w:val="Header Char"/>
    <w:basedOn w:val="DefaultParagraphFont"/>
    <w:link w:val="Header"/>
    <w:uiPriority w:val="99"/>
    <w:rsid w:val="006C627B"/>
  </w:style>
  <w:style w:type="paragraph" w:styleId="Footer">
    <w:name w:val="footer"/>
    <w:basedOn w:val="Normal"/>
    <w:link w:val="FooterChar"/>
    <w:uiPriority w:val="99"/>
    <w:unhideWhenUsed/>
    <w:rsid w:val="006C627B"/>
    <w:pPr>
      <w:tabs>
        <w:tab w:val="center" w:pos="4513"/>
        <w:tab w:val="right" w:pos="9026"/>
      </w:tabs>
    </w:pPr>
    <w:rPr>
      <w:rFonts w:asciiTheme="minorHAnsi" w:hAnsiTheme="minorHAnsi" w:cstheme="minorBidi"/>
      <w14:ligatures w14:val="none"/>
    </w:rPr>
  </w:style>
  <w:style w:type="character" w:customStyle="1" w:styleId="FooterChar">
    <w:name w:val="Footer Char"/>
    <w:basedOn w:val="DefaultParagraphFont"/>
    <w:link w:val="Footer"/>
    <w:uiPriority w:val="99"/>
    <w:rsid w:val="006C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2348">
      <w:bodyDiv w:val="1"/>
      <w:marLeft w:val="0"/>
      <w:marRight w:val="0"/>
      <w:marTop w:val="0"/>
      <w:marBottom w:val="0"/>
      <w:divBdr>
        <w:top w:val="none" w:sz="0" w:space="0" w:color="auto"/>
        <w:left w:val="none" w:sz="0" w:space="0" w:color="auto"/>
        <w:bottom w:val="none" w:sz="0" w:space="0" w:color="auto"/>
        <w:right w:val="none" w:sz="0" w:space="0" w:color="auto"/>
      </w:divBdr>
    </w:div>
    <w:div w:id="1351949040">
      <w:bodyDiv w:val="1"/>
      <w:marLeft w:val="0"/>
      <w:marRight w:val="0"/>
      <w:marTop w:val="0"/>
      <w:marBottom w:val="0"/>
      <w:divBdr>
        <w:top w:val="none" w:sz="0" w:space="0" w:color="auto"/>
        <w:left w:val="none" w:sz="0" w:space="0" w:color="auto"/>
        <w:bottom w:val="none" w:sz="0" w:space="0" w:color="auto"/>
        <w:right w:val="none" w:sz="0" w:space="0" w:color="auto"/>
      </w:divBdr>
    </w:div>
    <w:div w:id="1464734199">
      <w:bodyDiv w:val="1"/>
      <w:marLeft w:val="0"/>
      <w:marRight w:val="0"/>
      <w:marTop w:val="0"/>
      <w:marBottom w:val="0"/>
      <w:divBdr>
        <w:top w:val="none" w:sz="0" w:space="0" w:color="auto"/>
        <w:left w:val="none" w:sz="0" w:space="0" w:color="auto"/>
        <w:bottom w:val="none" w:sz="0" w:space="0" w:color="auto"/>
        <w:right w:val="none" w:sz="0" w:space="0" w:color="auto"/>
      </w:divBdr>
    </w:div>
    <w:div w:id="1729765412">
      <w:bodyDiv w:val="1"/>
      <w:marLeft w:val="0"/>
      <w:marRight w:val="0"/>
      <w:marTop w:val="0"/>
      <w:marBottom w:val="0"/>
      <w:divBdr>
        <w:top w:val="none" w:sz="0" w:space="0" w:color="auto"/>
        <w:left w:val="none" w:sz="0" w:space="0" w:color="auto"/>
        <w:bottom w:val="none" w:sz="0" w:space="0" w:color="auto"/>
        <w:right w:val="none" w:sz="0" w:space="0" w:color="auto"/>
      </w:divBdr>
    </w:div>
    <w:div w:id="214515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commission/presscorner/detail/sl/ip_23_3189" TargetMode="External"/><Relationship Id="rId18" Type="http://schemas.openxmlformats.org/officeDocument/2006/relationships/hyperlink" Target="https://ec.europa.eu/info/funding-tenders/opportunities/portal/screen/opportunities/topic-details/pppa-sport-2023-emergency-youth;callCode=null;freeTextSearchKeyword=pppa-sport-2023;matchWholeText=true;typeCodes=1,0;statusCodes=31094501,31094502,31094503;p"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yperlink" Target="https://ec.europa.eu/commission/presscorner/detail/en/fs_23_3882" TargetMode="External"/><Relationship Id="rId17" Type="http://schemas.openxmlformats.org/officeDocument/2006/relationships/hyperlink" Target="https://ec.europa.eu/info/funding-tenders/opportunities/portal/screen/opportunities/topic-details/pppa-sport-2023-people-planet;callCode=null;freeTextSearchKeyword=pppa-sport-2023;matchWholeText=true;typeCodes=1,0;statusCodes=31094501,31094502,31094503;pro" TargetMode="External"/><Relationship Id="rId2" Type="http://schemas.openxmlformats.org/officeDocument/2006/relationships/settings" Target="settings.xml"/><Relationship Id="rId16" Type="http://schemas.openxmlformats.org/officeDocument/2006/relationships/hyperlink" Target="https://ec.europa.eu/social/main.jsp?langId=en&amp;catId=89&amp;furtherNews=yes&amp;newsId=10650" TargetMode="External"/><Relationship Id="rId20" Type="http://schemas.openxmlformats.org/officeDocument/2006/relationships/hyperlink" Target="https://edps.europa.eu/data-protection/our-work/publications/opinions/2023-08-22-edps-opinion-392023-regulation-payment-services-internal-market-and-directive-payment-services-and-electronic-money-services-internal-market_en"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eur-lex.europa.eu/legal-content/SL/TXT/HTML/?uri=CELEX:32022L2557&amp;qid=1692632565662" TargetMode="External"/><Relationship Id="rId10" Type="http://schemas.openxmlformats.org/officeDocument/2006/relationships/header" Target="header3.xml"/><Relationship Id="rId19" Type="http://schemas.openxmlformats.org/officeDocument/2006/relationships/hyperlink" Target="https://edps.europa.eu/data-protection/our-work/publications/opinions/2023-08-22-edps-opinion-382023-regulation-framework-financial-data-access_en"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home-affairs.ec.europa.eu/commission-delegated-regulation-supplementing-directive-20222557-establishing-list-essential_s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12</cp:revision>
  <dcterms:created xsi:type="dcterms:W3CDTF">2023-06-26T07:14:00Z</dcterms:created>
  <dcterms:modified xsi:type="dcterms:W3CDTF">2023-08-31T12:08:00Z</dcterms:modified>
</cp:coreProperties>
</file>