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7671" w14:textId="77777777" w:rsidR="00B64FC9" w:rsidRPr="00B64FC9" w:rsidRDefault="00B64FC9" w:rsidP="00B64FC9">
      <w:pPr>
        <w:jc w:val="both"/>
        <w:rPr>
          <w:rFonts w:ascii="Arial" w:eastAsiaTheme="minorHAnsi" w:hAnsi="Arial"/>
          <w:b/>
          <w:bCs/>
          <w:color w:val="002060"/>
          <w:kern w:val="0"/>
          <w:sz w:val="20"/>
          <w:szCs w:val="20"/>
          <w:lang w:eastAsia="en-US" w:bidi="ar-SA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 xml:space="preserve">Predlog novih pravil za zaščito in krepitev vloge malih vlagateljev v EU </w:t>
      </w:r>
    </w:p>
    <w:p w14:paraId="2D97731E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262803DE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Evropska komisija je objavila predlog novih pravil za zaščito in krepitev vloge malih vlagateljev v EU. Namen nove zakonodaje je omogočiti malim vlagateljem, da lahko sprejemajo naložbene odločitve, ki so usklajene z njihovimi potrebami in preferencami, ter zagotoviti, da so pošteno obravnavani in ustrezno zaščiteni. </w:t>
      </w:r>
    </w:p>
    <w:p w14:paraId="682922F1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0D2E5E1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46DC751E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6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Predlog</w:t>
        </w:r>
      </w:hyperlink>
    </w:p>
    <w:p w14:paraId="1285D4CC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334141DE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</w:p>
    <w:p w14:paraId="6988BE7B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Sprejeta so nova pravila za stroje</w:t>
      </w:r>
    </w:p>
    <w:p w14:paraId="3E0076E9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32DE96A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Sprejeta je nova uredba o strojih, ki uvaja obvezno ugotavljanje skladnosti, ki ga opravi tretja oseba, za šest kategorij strojev »z visokim tveganjem«.</w:t>
      </w:r>
    </w:p>
    <w:p w14:paraId="2046152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3BA65182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7691C7FB" w14:textId="77777777" w:rsidR="00B64FC9" w:rsidRPr="00B64FC9" w:rsidRDefault="00B64FC9" w:rsidP="00B64FC9">
      <w:pPr>
        <w:rPr>
          <w:rFonts w:ascii="Arial" w:hAnsi="Arial"/>
          <w:color w:val="FFC000"/>
          <w:sz w:val="20"/>
          <w:szCs w:val="20"/>
        </w:rPr>
      </w:pPr>
      <w:hyperlink r:id="rId7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Sporočilo Sveta EU s povezavo na uredbo</w:t>
        </w:r>
      </w:hyperlink>
    </w:p>
    <w:p w14:paraId="51B1EDA1" w14:textId="77777777" w:rsidR="00B64FC9" w:rsidRPr="00B64FC9" w:rsidRDefault="00B64FC9" w:rsidP="00B64FC9">
      <w:pPr>
        <w:rPr>
          <w:rFonts w:ascii="Arial" w:hAnsi="Arial"/>
          <w:color w:val="002060"/>
          <w:sz w:val="20"/>
          <w:szCs w:val="20"/>
        </w:rPr>
      </w:pPr>
    </w:p>
    <w:p w14:paraId="31F626A9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</w:p>
    <w:p w14:paraId="4B35EDD2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Evropski parlament je podprl osnutek akta o povečanju evropske proizvodnje streliva in raket</w:t>
      </w:r>
    </w:p>
    <w:p w14:paraId="6EF1759E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403A108E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Evropski parlament je podprl osnutek akta o povečanju evropske proizvodnje streliva in raket, katerega namen je pomagati državam članicam pri obnovi zalog orožja.</w:t>
      </w:r>
    </w:p>
    <w:p w14:paraId="0E99EFA1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428AB760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5EA9A714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8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Sporočilo</w:t>
        </w:r>
      </w:hyperlink>
    </w:p>
    <w:p w14:paraId="342E5994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41AA105A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56F27B1A" w14:textId="77777777" w:rsidR="00B64FC9" w:rsidRPr="00B64FC9" w:rsidRDefault="00B64FC9" w:rsidP="00B64FC9">
      <w:pPr>
        <w:jc w:val="both"/>
        <w:rPr>
          <w:rFonts w:ascii="Arial" w:eastAsiaTheme="minorHAnsi" w:hAnsi="Arial"/>
          <w:b/>
          <w:bCs/>
          <w:color w:val="002060"/>
          <w:kern w:val="0"/>
          <w:sz w:val="20"/>
          <w:szCs w:val="20"/>
          <w:lang w:bidi="ar-SA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Priporočilo glede ukrepov za podporo socialnemu gospodarstvu</w:t>
      </w:r>
    </w:p>
    <w:p w14:paraId="2F697BD9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  <w:lang w:eastAsia="en-US"/>
          <w14:ligatures w14:val="standardContextual"/>
        </w:rPr>
      </w:pPr>
    </w:p>
    <w:p w14:paraId="7CC100C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 xml:space="preserve">Evropska komisija je predstavila priporočilo glede ukrepov za podporo socialnemu gospodarstvu, ki človeka ter socialna in </w:t>
      </w:r>
      <w:r w:rsidRPr="00B64FC9">
        <w:rPr>
          <w:rFonts w:ascii="Arial" w:hAnsi="Arial"/>
          <w:color w:val="002060"/>
          <w:sz w:val="20"/>
          <w:szCs w:val="20"/>
        </w:rPr>
        <w:t>okoljska vprašanja uvršča pred dobiček. Namen predloga je ustvariti ugodne pogoje za uspeh in rast organizacij socialnega gospodarstva ter povečati ozaveščenost o njihovem potencialu, zlasti za ustvarjanje kakovostnih delovnih mest ter podpiranje inovacij in socialnega vključevanja.</w:t>
      </w:r>
    </w:p>
    <w:p w14:paraId="1347E767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48851FE0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3624BCD3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9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Predlog</w:t>
        </w:r>
      </w:hyperlink>
    </w:p>
    <w:p w14:paraId="3A6CCC6F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7AEB99BC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3B75B237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Partnerstvo med EU in Argentino na področju trajnostnih vrednostnih verig surovin</w:t>
      </w:r>
    </w:p>
    <w:p w14:paraId="2D42B7A1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738B788C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 xml:space="preserve">Podpisan je Memorandum o soglasju o vzpostavitvi partnerstva med EU in Argentino na področju trajnostnih vrednostnih verig surovin. </w:t>
      </w:r>
    </w:p>
    <w:p w14:paraId="489C83A0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37727934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10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Memorandum</w:t>
        </w:r>
      </w:hyperlink>
    </w:p>
    <w:p w14:paraId="3DA07ED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512E7B0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7F32D0F2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Sprejete so pogajalske smernice za sporazum o kritičnih mineralih z Združenimi državami</w:t>
      </w:r>
    </w:p>
    <w:p w14:paraId="5B86DB7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5F9E07F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Evropska komisija je sprejela pogajalske smernice za sporazum o kritičnih mineralih z Združenimi državami. Cilj je spodbujati dobavne verige med EU in ZDA na področju kritičnih surovin, potrebnih za proizvodnjo baterij za električna vozila. </w:t>
      </w:r>
    </w:p>
    <w:p w14:paraId="4CA4A79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63BDEDF2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085E4F8F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11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Sporočilo Evropske komisije</w:t>
        </w:r>
      </w:hyperlink>
    </w:p>
    <w:p w14:paraId="251ED0FB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2A43F13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0B89C87D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Objavljen je razpis za zbiranje predlogov za reševanje problematike zavržene hrane</w:t>
      </w:r>
    </w:p>
    <w:p w14:paraId="3FDD2067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  <w:lang w:eastAsia="en-US"/>
          <w14:ligatures w14:val="standardContextual"/>
        </w:rPr>
      </w:pPr>
    </w:p>
    <w:p w14:paraId="2130E3B7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 xml:space="preserve">Evropska komisija je objavila razpis za zbiranje predlogov za reševanje problematike zavržene hrane. Od prijaviteljev pričakuje, da bodo predlogi njihovih projektov vključevali strategije </w:t>
      </w:r>
      <w:r w:rsidRPr="00B64FC9">
        <w:rPr>
          <w:rFonts w:ascii="Arial" w:hAnsi="Arial"/>
          <w:color w:val="002060"/>
          <w:sz w:val="20"/>
          <w:szCs w:val="20"/>
        </w:rPr>
        <w:lastRenderedPageBreak/>
        <w:t xml:space="preserve">diagnosticiranja in merjenja živilskih odpadkov ter pobude za njihovo preprečevanje. Razpis je odprt do 21. septembra. </w:t>
      </w:r>
    </w:p>
    <w:p w14:paraId="6B9CA437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7354CFC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17B42AF6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12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Razpis</w:t>
        </w:r>
      </w:hyperlink>
    </w:p>
    <w:p w14:paraId="75E0EA38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508651CA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4BFC9E81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Objavljen je razpis za nagrado EU za varnost proizvodov za leto 2023</w:t>
      </w:r>
    </w:p>
    <w:p w14:paraId="355998D3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  <w:lang w:eastAsia="en-US"/>
          <w14:ligatures w14:val="standardContextual"/>
        </w:rPr>
      </w:pPr>
    </w:p>
    <w:p w14:paraId="4948A7F3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Evropska komisija je objavila razpis za nagrado EU za varnost proizvodov za leto 2023, ki je odlikovanje za uspešna podjetja in raziskovalce, ki prispevajo k varnosti potrošnikov. Letošnji poudarek je na podjetjih, ki uvajajo inovacije in vlagajo v izboljšanje varnosti mladih. Rpok za oddajo priajv se izteče 8. septembra.</w:t>
      </w:r>
    </w:p>
    <w:p w14:paraId="035FF231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12DAFE4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765966F1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13" w:anchor="/screen/pages/safetyAward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Spletna stran z informacijami o nagradi in za prijavo na razpis</w:t>
        </w:r>
      </w:hyperlink>
    </w:p>
    <w:p w14:paraId="5ECF2F7F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4D5E166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2D8DF2D0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Sodba o izgubi pravic, povezanih s statusom državljana Unije</w:t>
      </w:r>
    </w:p>
    <w:p w14:paraId="39A8F266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21680EEB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Za britanske državljane je izguba statusa državljana Unije in posledično izguba pravic, povezanih s tem statusom, samodejna posledica same odločitve, ki jo je suvereno sprejelo Združeno kraljestvo, da izstopi iz Unije, je razsodilo Sodišče EU.</w:t>
      </w:r>
    </w:p>
    <w:p w14:paraId="30111B5F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1B53E8BA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7D13D98B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14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Sodba</w:t>
        </w:r>
      </w:hyperlink>
    </w:p>
    <w:p w14:paraId="7D8DAF9D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3F971FA2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23A55E99" w14:textId="77777777" w:rsidR="00B64FC9" w:rsidRPr="00B64FC9" w:rsidRDefault="00B64FC9" w:rsidP="00B64FC9">
      <w:pPr>
        <w:jc w:val="both"/>
        <w:rPr>
          <w:rFonts w:ascii="Arial" w:hAnsi="Arial"/>
          <w:b/>
          <w:bCs/>
          <w:color w:val="002060"/>
          <w:sz w:val="20"/>
          <w:szCs w:val="20"/>
        </w:rPr>
      </w:pPr>
      <w:r w:rsidRPr="00B64FC9">
        <w:rPr>
          <w:rFonts w:ascii="Arial" w:hAnsi="Arial"/>
          <w:b/>
          <w:bCs/>
          <w:color w:val="002060"/>
          <w:sz w:val="20"/>
          <w:szCs w:val="20"/>
        </w:rPr>
        <w:t>Sodba glede nadomestila zaposlenim, ki jim upravni organi naložijo ukrep izolacije</w:t>
      </w:r>
    </w:p>
    <w:p w14:paraId="1A2AD7C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78A45F47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Prosto gibanje delavcev nasprotuje ureditvi države članice, ki nadomestilo določa pogoj, da upravni organi te države naložijo ukrep izolacije, je presodilo Sodišče EU.</w:t>
      </w:r>
    </w:p>
    <w:p w14:paraId="54E82845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</w:p>
    <w:p w14:paraId="695DB41C" w14:textId="77777777" w:rsidR="00B64FC9" w:rsidRPr="00B64FC9" w:rsidRDefault="00B64FC9" w:rsidP="00B64FC9">
      <w:pPr>
        <w:jc w:val="both"/>
        <w:rPr>
          <w:rFonts w:ascii="Arial" w:hAnsi="Arial"/>
          <w:color w:val="002060"/>
          <w:sz w:val="20"/>
          <w:szCs w:val="20"/>
        </w:rPr>
      </w:pPr>
      <w:r w:rsidRPr="00B64FC9">
        <w:rPr>
          <w:rFonts w:ascii="Arial" w:hAnsi="Arial"/>
          <w:color w:val="002060"/>
          <w:sz w:val="20"/>
          <w:szCs w:val="20"/>
        </w:rPr>
        <w:t>Več:</w:t>
      </w:r>
    </w:p>
    <w:p w14:paraId="4AD3763B" w14:textId="77777777" w:rsidR="00B64FC9" w:rsidRPr="00B64FC9" w:rsidRDefault="00B64FC9" w:rsidP="00B64FC9">
      <w:pPr>
        <w:jc w:val="both"/>
        <w:rPr>
          <w:rFonts w:ascii="Arial" w:hAnsi="Arial"/>
          <w:color w:val="FFC000"/>
          <w:sz w:val="20"/>
          <w:szCs w:val="20"/>
        </w:rPr>
      </w:pPr>
      <w:hyperlink r:id="rId15" w:history="1">
        <w:r w:rsidRPr="00B64FC9">
          <w:rPr>
            <w:rStyle w:val="Hyperlink"/>
            <w:rFonts w:ascii="Arial" w:hAnsi="Arial"/>
            <w:color w:val="FFC000"/>
            <w:sz w:val="20"/>
            <w:szCs w:val="20"/>
          </w:rPr>
          <w:t>Sodba</w:t>
        </w:r>
      </w:hyperlink>
    </w:p>
    <w:p w14:paraId="66CD7E76" w14:textId="77777777" w:rsidR="00B64FC9" w:rsidRPr="00B64FC9" w:rsidRDefault="00B64FC9" w:rsidP="00B64FC9">
      <w:pPr>
        <w:jc w:val="both"/>
        <w:rPr>
          <w:rFonts w:ascii="Arial" w:hAnsi="Arial"/>
          <w:sz w:val="20"/>
          <w:szCs w:val="20"/>
        </w:rPr>
      </w:pPr>
    </w:p>
    <w:p w14:paraId="766DB324" w14:textId="77777777" w:rsidR="00B64FC9" w:rsidRPr="00B64FC9" w:rsidRDefault="00B64FC9" w:rsidP="00BF4734">
      <w:pPr>
        <w:jc w:val="both"/>
        <w:rPr>
          <w:rFonts w:ascii="Arial" w:hAnsi="Arial"/>
          <w:color w:val="FFC000"/>
          <w:sz w:val="20"/>
          <w:szCs w:val="20"/>
        </w:rPr>
      </w:pPr>
    </w:p>
    <w:p w14:paraId="16E17BF5" w14:textId="77777777" w:rsidR="00BF4734" w:rsidRPr="00B64FC9" w:rsidRDefault="00BF4734" w:rsidP="0042676A">
      <w:pPr>
        <w:jc w:val="both"/>
        <w:rPr>
          <w:rFonts w:ascii="Arial" w:hAnsi="Arial"/>
          <w:color w:val="002060"/>
          <w:sz w:val="20"/>
          <w:szCs w:val="20"/>
        </w:rPr>
      </w:pPr>
    </w:p>
    <w:p w14:paraId="166DE93F" w14:textId="77777777" w:rsidR="0042676A" w:rsidRPr="00B64FC9" w:rsidRDefault="0042676A" w:rsidP="00C22439">
      <w:pPr>
        <w:jc w:val="both"/>
        <w:rPr>
          <w:rFonts w:ascii="Arial" w:hAnsi="Arial"/>
          <w:color w:val="FFC000"/>
          <w:sz w:val="20"/>
          <w:szCs w:val="20"/>
        </w:rPr>
      </w:pPr>
    </w:p>
    <w:p w14:paraId="61DE9D50" w14:textId="77777777" w:rsidR="0042676A" w:rsidRPr="00B64FC9" w:rsidRDefault="0042676A" w:rsidP="00C22439">
      <w:pPr>
        <w:jc w:val="both"/>
        <w:rPr>
          <w:rFonts w:ascii="Arial" w:hAnsi="Arial"/>
          <w:color w:val="FFC000"/>
          <w:sz w:val="20"/>
          <w:szCs w:val="20"/>
        </w:rPr>
      </w:pPr>
    </w:p>
    <w:p w14:paraId="78802904" w14:textId="77777777" w:rsidR="0042676A" w:rsidRPr="00B64FC9" w:rsidRDefault="0042676A" w:rsidP="00C22439">
      <w:pPr>
        <w:jc w:val="both"/>
        <w:rPr>
          <w:rFonts w:ascii="Arial" w:hAnsi="Arial"/>
          <w:color w:val="FFC000"/>
          <w:sz w:val="20"/>
          <w:szCs w:val="20"/>
        </w:rPr>
      </w:pPr>
    </w:p>
    <w:sectPr w:rsidR="0042676A" w:rsidRPr="00B64FC9" w:rsidSect="00BF67F0">
      <w:headerReference w:type="default" r:id="rId16"/>
      <w:headerReference w:type="first" r:id="rId17"/>
      <w:pgSz w:w="11906" w:h="16838"/>
      <w:pgMar w:top="1440" w:right="1440" w:bottom="1440" w:left="1440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41A3C" w14:textId="77777777" w:rsidR="00330A7D" w:rsidRDefault="00330A7D" w:rsidP="00632E85">
      <w:r>
        <w:separator/>
      </w:r>
    </w:p>
  </w:endnote>
  <w:endnote w:type="continuationSeparator" w:id="0">
    <w:p w14:paraId="44280731" w14:textId="77777777" w:rsidR="00330A7D" w:rsidRDefault="00330A7D" w:rsidP="0063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ABC45" w14:textId="77777777" w:rsidR="00330A7D" w:rsidRDefault="00330A7D" w:rsidP="00632E85">
      <w:r>
        <w:separator/>
      </w:r>
    </w:p>
  </w:footnote>
  <w:footnote w:type="continuationSeparator" w:id="0">
    <w:p w14:paraId="260F6BFC" w14:textId="77777777" w:rsidR="00330A7D" w:rsidRDefault="00330A7D" w:rsidP="0063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3926" w14:textId="42567863" w:rsidR="00632E85" w:rsidRDefault="00632E85" w:rsidP="00632E8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3849" w14:textId="72809A8D" w:rsidR="002B37A9" w:rsidRDefault="008B5E9E">
    <w:pPr>
      <w:pStyle w:val="Header"/>
    </w:pPr>
    <w:r>
      <w:rPr>
        <w:noProof/>
      </w:rPr>
      <w:drawing>
        <wp:inline distT="0" distB="0" distL="0" distR="0" wp14:anchorId="7C46AE06" wp14:editId="5A686892">
          <wp:extent cx="5724525" cy="2571750"/>
          <wp:effectExtent l="0" t="0" r="9525" b="0"/>
          <wp:docPr id="19532604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257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B5"/>
    <w:rsid w:val="00014828"/>
    <w:rsid w:val="00024B54"/>
    <w:rsid w:val="00053995"/>
    <w:rsid w:val="001D7461"/>
    <w:rsid w:val="001E0C23"/>
    <w:rsid w:val="00206823"/>
    <w:rsid w:val="002D75A9"/>
    <w:rsid w:val="00330A7D"/>
    <w:rsid w:val="0040197B"/>
    <w:rsid w:val="0042676A"/>
    <w:rsid w:val="004A3B8A"/>
    <w:rsid w:val="005025E0"/>
    <w:rsid w:val="005C21B5"/>
    <w:rsid w:val="00632E85"/>
    <w:rsid w:val="006F641A"/>
    <w:rsid w:val="008B5E9E"/>
    <w:rsid w:val="008D1540"/>
    <w:rsid w:val="00995304"/>
    <w:rsid w:val="00AB0D0B"/>
    <w:rsid w:val="00B31729"/>
    <w:rsid w:val="00B64FC9"/>
    <w:rsid w:val="00BF4734"/>
    <w:rsid w:val="00BF67F0"/>
    <w:rsid w:val="00C22439"/>
    <w:rsid w:val="00D41F4F"/>
    <w:rsid w:val="00EA28C0"/>
    <w:rsid w:val="00F7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B6E822E"/>
  <w15:chartTrackingRefBased/>
  <w15:docId w15:val="{64AA3038-0140-4900-8D56-2790CC90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B5"/>
    <w:pPr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val="sl-SI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1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21B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C21B5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character" w:styleId="Strong">
    <w:name w:val="Strong"/>
    <w:basedOn w:val="DefaultParagraphFont"/>
    <w:uiPriority w:val="22"/>
    <w:qFormat/>
    <w:rsid w:val="005C21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632E85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32E85"/>
    <w:rPr>
      <w:rFonts w:ascii="Times New Roman" w:eastAsia="NSimSun" w:hAnsi="Times New Roman" w:cs="Mangal"/>
      <w:kern w:val="2"/>
      <w:sz w:val="24"/>
      <w:szCs w:val="21"/>
      <w:lang w:val="sl-SI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024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news/sl/press-room/20230524IPR91909/poslanci-podprli-nacrt-za-dobavo-streliva-ukrajini" TargetMode="External"/><Relationship Id="rId13" Type="http://schemas.openxmlformats.org/officeDocument/2006/relationships/hyperlink" Target="https://ec.europa.eu/safety-gate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ilium.europa.eu/sl/press/press-releases/2023/05/22/new-rules-for-machinery-council-gives-its-final-approval/" TargetMode="External"/><Relationship Id="rId12" Type="http://schemas.openxmlformats.org/officeDocument/2006/relationships/hyperlink" Target="https://ec.europa.eu/info/funding-tenders/opportunities/portal/screen/opportunities/topic-details/smp-food-2023-fw-stakeholders-ag;callCode=null;freeTextSearchKeyword=food%20waste;matchWholeText=true;typeCodes=0,1,2,8;statusCodes=31094501,31094502;programm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finance.ec.europa.eu/publications/retail-investment-package_sl" TargetMode="External"/><Relationship Id="rId11" Type="http://schemas.openxmlformats.org/officeDocument/2006/relationships/hyperlink" Target="https://ec.europa.eu/commission/presscorner/detail/sl/ip_23_321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uria.europa.eu/juris/fiche.jsf?id=C%3B411%3B22%3BRP%3B1%3BP%3B1%3BC2022%2F0411%2FP&amp;nat=or&amp;mat=or&amp;pcs=Oor&amp;jur=C%2CT%2CF&amp;num=C-411%252F22&amp;for=&amp;jge=&amp;dates=&amp;language=sl&amp;pro=&amp;cit=none%252CC%252CCJ%252CR%252C2008E%252C%252C%252C%252C%252C%252C%252C%252C" TargetMode="External"/><Relationship Id="rId10" Type="http://schemas.openxmlformats.org/officeDocument/2006/relationships/hyperlink" Target="https://single-market-economy.ec.europa.eu/publications/memorandum-understanding-eu-argentina-sustainable-raw-materials_s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ec.europa.eu/social/main.jsp?langId=sl&amp;catId=89&amp;furtherNews=yes&amp;newsId=10594" TargetMode="External"/><Relationship Id="rId14" Type="http://schemas.openxmlformats.org/officeDocument/2006/relationships/hyperlink" Target="https://curia.europa.eu/juris/fiche.jsf?id=C%3B501%3B21%3BPV%3B1%3BP%3B1%3BC2021%2F0501%2FP&amp;nat=or&amp;mat=or&amp;pcs=Oor&amp;jur=C%2CT%2CF&amp;num=C-501%252F21&amp;for=&amp;jge=&amp;dates=&amp;language=sl&amp;pro=&amp;cit=none%252CC%252CCJ%252CR%252C2008E%252C%252C%252C%252C%252C%252C%252C%252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754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Bostjan Sinkovec</dc:creator>
  <cp:keywords/>
  <dc:description/>
  <cp:lastModifiedBy>Bostjan Sinkovec</cp:lastModifiedBy>
  <cp:revision>15</cp:revision>
  <dcterms:created xsi:type="dcterms:W3CDTF">2023-05-10T12:36:00Z</dcterms:created>
  <dcterms:modified xsi:type="dcterms:W3CDTF">2023-06-16T09:12:00Z</dcterms:modified>
</cp:coreProperties>
</file>