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B2798" w14:textId="77777777" w:rsidR="001E0C23" w:rsidRPr="0042676A" w:rsidRDefault="001E0C23" w:rsidP="001E0C23">
      <w:pPr>
        <w:jc w:val="both"/>
        <w:rPr>
          <w:rFonts w:ascii="Arial" w:hAnsi="Arial"/>
          <w:b/>
          <w:bCs/>
          <w:color w:val="002060"/>
          <w:sz w:val="20"/>
          <w:szCs w:val="20"/>
        </w:rPr>
      </w:pPr>
      <w:r w:rsidRPr="0042676A">
        <w:rPr>
          <w:rFonts w:ascii="Arial" w:hAnsi="Arial"/>
          <w:b/>
          <w:bCs/>
          <w:color w:val="002060"/>
          <w:sz w:val="20"/>
          <w:szCs w:val="20"/>
        </w:rPr>
        <w:t>Raziskava o dostopu do lastniškega financiranja za podjetja s področja obrambe</w:t>
      </w:r>
    </w:p>
    <w:p w14:paraId="4C8AAEFC" w14:textId="77777777" w:rsidR="001E0C23" w:rsidRPr="0042676A" w:rsidRDefault="001E0C23" w:rsidP="001E0C23">
      <w:pPr>
        <w:jc w:val="both"/>
        <w:rPr>
          <w:rFonts w:ascii="Arial" w:hAnsi="Arial"/>
          <w:color w:val="002060"/>
          <w:sz w:val="20"/>
          <w:szCs w:val="20"/>
        </w:rPr>
      </w:pPr>
    </w:p>
    <w:p w14:paraId="7F67DF4C" w14:textId="77777777" w:rsidR="001E0C23" w:rsidRPr="0042676A" w:rsidRDefault="001E0C23" w:rsidP="001E0C23">
      <w:pPr>
        <w:jc w:val="both"/>
        <w:rPr>
          <w:rFonts w:ascii="Arial" w:hAnsi="Arial"/>
          <w:color w:val="002060"/>
          <w:sz w:val="20"/>
          <w:szCs w:val="20"/>
        </w:rPr>
      </w:pPr>
      <w:r w:rsidRPr="0042676A">
        <w:rPr>
          <w:rFonts w:ascii="Arial" w:hAnsi="Arial"/>
          <w:color w:val="002060"/>
          <w:sz w:val="20"/>
          <w:szCs w:val="20"/>
        </w:rPr>
        <w:t>Mala in srednja podjetja (vključno z zagonskimi podjetji) in podjetja s srednje veliko tržno kapitalizacijo lahko do 16, junija izpolnijo anketo in tako sodelujejo v raziskavi o dostopu do lastniškega financiranja za podjetja s področja obrambe.</w:t>
      </w:r>
    </w:p>
    <w:p w14:paraId="4EEE5A13" w14:textId="77777777" w:rsidR="001E0C23" w:rsidRPr="0042676A" w:rsidRDefault="001E0C23" w:rsidP="001E0C23">
      <w:pPr>
        <w:jc w:val="both"/>
        <w:rPr>
          <w:rFonts w:ascii="Arial" w:hAnsi="Arial"/>
          <w:color w:val="002060"/>
          <w:sz w:val="20"/>
          <w:szCs w:val="20"/>
        </w:rPr>
      </w:pPr>
    </w:p>
    <w:p w14:paraId="2902614C" w14:textId="77777777" w:rsidR="001E0C23" w:rsidRPr="0042676A" w:rsidRDefault="001E0C23" w:rsidP="001E0C23">
      <w:pPr>
        <w:jc w:val="both"/>
        <w:rPr>
          <w:rFonts w:ascii="Arial" w:hAnsi="Arial"/>
          <w:color w:val="002060"/>
          <w:sz w:val="20"/>
          <w:szCs w:val="20"/>
        </w:rPr>
      </w:pPr>
      <w:r w:rsidRPr="0042676A">
        <w:rPr>
          <w:rFonts w:ascii="Arial" w:hAnsi="Arial"/>
          <w:color w:val="002060"/>
          <w:sz w:val="20"/>
          <w:szCs w:val="20"/>
        </w:rPr>
        <w:t>Več:</w:t>
      </w:r>
    </w:p>
    <w:p w14:paraId="5B5B64A5" w14:textId="77777777" w:rsidR="001E0C23" w:rsidRPr="0042676A" w:rsidRDefault="00000000" w:rsidP="001E0C23">
      <w:pPr>
        <w:jc w:val="both"/>
        <w:rPr>
          <w:rFonts w:ascii="Arial" w:hAnsi="Arial"/>
          <w:color w:val="002060"/>
          <w:sz w:val="20"/>
          <w:szCs w:val="20"/>
        </w:rPr>
      </w:pPr>
      <w:hyperlink r:id="rId6" w:history="1">
        <w:r w:rsidR="001E0C23" w:rsidRPr="0042676A">
          <w:rPr>
            <w:rStyle w:val="Hyperlink"/>
            <w:rFonts w:ascii="Arial" w:hAnsi="Arial"/>
            <w:color w:val="FFC000"/>
            <w:sz w:val="20"/>
            <w:szCs w:val="20"/>
          </w:rPr>
          <w:t>Sporočilo s povezavo na anketo</w:t>
        </w:r>
      </w:hyperlink>
    </w:p>
    <w:p w14:paraId="3A6566D2" w14:textId="0494F075" w:rsidR="00D41F4F" w:rsidRPr="0042676A" w:rsidRDefault="00D41F4F" w:rsidP="001E0C23">
      <w:pPr>
        <w:jc w:val="both"/>
        <w:rPr>
          <w:rFonts w:ascii="Arial" w:hAnsi="Arial"/>
          <w:color w:val="002060"/>
          <w:sz w:val="20"/>
          <w:szCs w:val="20"/>
        </w:rPr>
      </w:pPr>
    </w:p>
    <w:p w14:paraId="74388ABB" w14:textId="77777777" w:rsidR="00B31729" w:rsidRPr="0042676A" w:rsidRDefault="00B31729" w:rsidP="001E0C23">
      <w:pPr>
        <w:jc w:val="both"/>
        <w:rPr>
          <w:rFonts w:ascii="Arial" w:hAnsi="Arial"/>
          <w:color w:val="002060"/>
          <w:sz w:val="20"/>
          <w:szCs w:val="20"/>
        </w:rPr>
      </w:pPr>
    </w:p>
    <w:p w14:paraId="61B7CF8F" w14:textId="77777777" w:rsidR="00B31729" w:rsidRPr="0042676A" w:rsidRDefault="00B31729" w:rsidP="00B31729">
      <w:pPr>
        <w:jc w:val="both"/>
        <w:rPr>
          <w:rFonts w:ascii="Arial" w:hAnsi="Arial"/>
          <w:b/>
          <w:bCs/>
          <w:color w:val="002060"/>
          <w:sz w:val="20"/>
          <w:szCs w:val="20"/>
        </w:rPr>
      </w:pPr>
      <w:r w:rsidRPr="0042676A">
        <w:rPr>
          <w:rFonts w:ascii="Arial" w:hAnsi="Arial"/>
          <w:b/>
          <w:bCs/>
          <w:color w:val="002060"/>
          <w:sz w:val="20"/>
          <w:szCs w:val="20"/>
        </w:rPr>
        <w:t>Javno posvetovanje o  državni pomoči letališčem in letalskim prevoznikom</w:t>
      </w:r>
    </w:p>
    <w:p w14:paraId="63A27C5C" w14:textId="77777777" w:rsidR="00B31729" w:rsidRPr="0042676A" w:rsidRDefault="00B31729" w:rsidP="00B31729">
      <w:pPr>
        <w:jc w:val="both"/>
        <w:rPr>
          <w:rFonts w:ascii="Arial" w:hAnsi="Arial"/>
          <w:color w:val="002060"/>
          <w:sz w:val="20"/>
          <w:szCs w:val="20"/>
        </w:rPr>
      </w:pPr>
    </w:p>
    <w:p w14:paraId="6B89C656" w14:textId="77777777" w:rsidR="00B31729" w:rsidRPr="0042676A" w:rsidRDefault="00B31729" w:rsidP="00B31729">
      <w:pPr>
        <w:jc w:val="both"/>
        <w:rPr>
          <w:rFonts w:ascii="Arial" w:hAnsi="Arial"/>
          <w:color w:val="002060"/>
          <w:sz w:val="20"/>
          <w:szCs w:val="20"/>
        </w:rPr>
      </w:pPr>
      <w:r w:rsidRPr="0042676A">
        <w:rPr>
          <w:rFonts w:ascii="Arial" w:hAnsi="Arial"/>
          <w:color w:val="002060"/>
          <w:sz w:val="20"/>
          <w:szCs w:val="20"/>
        </w:rPr>
        <w:t>Evropska komisija do 5. junija prek javnega posvetovanja zbira mnenja in predloge  o osnutku predloga za podaljšanje uporabe smernic o državni pomoči letališčem in letalskim prevoznikom.</w:t>
      </w:r>
    </w:p>
    <w:p w14:paraId="1F8AC72E" w14:textId="77777777" w:rsidR="00B31729" w:rsidRPr="0042676A" w:rsidRDefault="00B31729" w:rsidP="00B31729">
      <w:pPr>
        <w:jc w:val="both"/>
        <w:rPr>
          <w:rFonts w:ascii="Arial" w:hAnsi="Arial"/>
          <w:color w:val="002060"/>
          <w:sz w:val="20"/>
          <w:szCs w:val="20"/>
        </w:rPr>
      </w:pPr>
    </w:p>
    <w:p w14:paraId="2A0805F4" w14:textId="77777777" w:rsidR="00B31729" w:rsidRPr="0042676A" w:rsidRDefault="00B31729" w:rsidP="00B31729">
      <w:pPr>
        <w:jc w:val="both"/>
        <w:rPr>
          <w:rFonts w:ascii="Arial" w:hAnsi="Arial"/>
          <w:color w:val="002060"/>
          <w:sz w:val="20"/>
          <w:szCs w:val="20"/>
        </w:rPr>
      </w:pPr>
      <w:r w:rsidRPr="0042676A">
        <w:rPr>
          <w:rFonts w:ascii="Arial" w:hAnsi="Arial"/>
          <w:color w:val="002060"/>
          <w:sz w:val="20"/>
          <w:szCs w:val="20"/>
        </w:rPr>
        <w:t>Več:</w:t>
      </w:r>
    </w:p>
    <w:p w14:paraId="10D93E1B" w14:textId="77777777" w:rsidR="00B31729" w:rsidRPr="0042676A" w:rsidRDefault="00000000" w:rsidP="00B31729">
      <w:pPr>
        <w:jc w:val="both"/>
        <w:rPr>
          <w:rFonts w:ascii="Arial" w:hAnsi="Arial"/>
          <w:color w:val="FFC000"/>
          <w:sz w:val="20"/>
          <w:szCs w:val="20"/>
        </w:rPr>
      </w:pPr>
      <w:hyperlink r:id="rId7" w:history="1">
        <w:r w:rsidR="00B31729" w:rsidRPr="0042676A">
          <w:rPr>
            <w:rStyle w:val="Hyperlink"/>
            <w:rFonts w:ascii="Arial" w:hAnsi="Arial"/>
            <w:color w:val="FFC000"/>
            <w:sz w:val="20"/>
            <w:szCs w:val="20"/>
          </w:rPr>
          <w:t>Posvetovanje</w:t>
        </w:r>
      </w:hyperlink>
    </w:p>
    <w:p w14:paraId="4B52BB35" w14:textId="77777777" w:rsidR="001E0C23" w:rsidRPr="0042676A" w:rsidRDefault="001E0C23" w:rsidP="001E0C23">
      <w:pPr>
        <w:jc w:val="both"/>
        <w:rPr>
          <w:rFonts w:ascii="Arial" w:hAnsi="Arial"/>
          <w:color w:val="002060"/>
          <w:sz w:val="20"/>
          <w:szCs w:val="20"/>
        </w:rPr>
      </w:pPr>
    </w:p>
    <w:p w14:paraId="623ED612" w14:textId="77777777" w:rsidR="00B31729" w:rsidRPr="0042676A" w:rsidRDefault="00B31729" w:rsidP="001E0C23">
      <w:pPr>
        <w:jc w:val="both"/>
        <w:rPr>
          <w:rFonts w:ascii="Arial" w:hAnsi="Arial"/>
          <w:color w:val="002060"/>
          <w:sz w:val="20"/>
          <w:szCs w:val="20"/>
        </w:rPr>
      </w:pPr>
    </w:p>
    <w:p w14:paraId="66F08F03" w14:textId="77777777" w:rsidR="00B31729" w:rsidRPr="0042676A" w:rsidRDefault="00B31729" w:rsidP="00B31729">
      <w:pPr>
        <w:jc w:val="both"/>
        <w:rPr>
          <w:rFonts w:ascii="Arial" w:hAnsi="Arial"/>
          <w:b/>
          <w:bCs/>
          <w:color w:val="002060"/>
          <w:sz w:val="20"/>
          <w:szCs w:val="20"/>
        </w:rPr>
      </w:pPr>
      <w:r w:rsidRPr="0042676A">
        <w:rPr>
          <w:rFonts w:ascii="Arial" w:hAnsi="Arial"/>
          <w:b/>
          <w:bCs/>
          <w:color w:val="002060"/>
          <w:sz w:val="20"/>
          <w:szCs w:val="20"/>
        </w:rPr>
        <w:t>Na voljo je 99 milijonov evrov za financiranje projektov za prehod na čisto energijo</w:t>
      </w:r>
    </w:p>
    <w:p w14:paraId="35AB53C9" w14:textId="77777777" w:rsidR="00B31729" w:rsidRPr="0042676A" w:rsidRDefault="00B31729" w:rsidP="00B31729">
      <w:pPr>
        <w:jc w:val="both"/>
        <w:rPr>
          <w:rFonts w:ascii="Arial" w:hAnsi="Arial"/>
          <w:color w:val="002060"/>
          <w:sz w:val="20"/>
          <w:szCs w:val="20"/>
        </w:rPr>
      </w:pPr>
    </w:p>
    <w:p w14:paraId="08BA1CDD" w14:textId="61F3BE6C" w:rsidR="00B31729" w:rsidRPr="0042676A" w:rsidRDefault="00B31729" w:rsidP="00B31729">
      <w:pPr>
        <w:jc w:val="both"/>
        <w:rPr>
          <w:rFonts w:ascii="Arial" w:hAnsi="Arial"/>
          <w:color w:val="002060"/>
          <w:sz w:val="20"/>
          <w:szCs w:val="20"/>
        </w:rPr>
      </w:pPr>
      <w:r w:rsidRPr="0042676A">
        <w:rPr>
          <w:rFonts w:ascii="Arial" w:hAnsi="Arial"/>
          <w:color w:val="002060"/>
          <w:sz w:val="20"/>
          <w:szCs w:val="20"/>
        </w:rPr>
        <w:t xml:space="preserve">Objavljen je razpis programa LIFE za prehod na čisto energijo prek katerega je na voljo 99 milijonov evrov. Odprt je do 16. novembra. Prvega junija ga bodo predstavniki Evropske komisije predstavili na informativnem dnevu. </w:t>
      </w:r>
    </w:p>
    <w:p w14:paraId="66F211C4" w14:textId="77777777" w:rsidR="00B31729" w:rsidRPr="0042676A" w:rsidRDefault="00B31729" w:rsidP="00B31729">
      <w:pPr>
        <w:jc w:val="both"/>
        <w:rPr>
          <w:rFonts w:ascii="Arial" w:hAnsi="Arial"/>
          <w:color w:val="002060"/>
          <w:sz w:val="20"/>
          <w:szCs w:val="20"/>
        </w:rPr>
      </w:pPr>
    </w:p>
    <w:p w14:paraId="6FA070FB" w14:textId="77777777" w:rsidR="00B31729" w:rsidRPr="0042676A" w:rsidRDefault="00B31729" w:rsidP="00B31729">
      <w:pPr>
        <w:jc w:val="both"/>
        <w:rPr>
          <w:rFonts w:ascii="Arial" w:hAnsi="Arial"/>
          <w:color w:val="002060"/>
          <w:sz w:val="20"/>
          <w:szCs w:val="20"/>
        </w:rPr>
      </w:pPr>
      <w:r w:rsidRPr="0042676A">
        <w:rPr>
          <w:rFonts w:ascii="Arial" w:hAnsi="Arial"/>
          <w:color w:val="002060"/>
          <w:sz w:val="20"/>
          <w:szCs w:val="20"/>
        </w:rPr>
        <w:t>Več:</w:t>
      </w:r>
    </w:p>
    <w:p w14:paraId="791B32C8" w14:textId="77777777" w:rsidR="00B31729" w:rsidRPr="0042676A" w:rsidRDefault="00000000" w:rsidP="00B31729">
      <w:pPr>
        <w:jc w:val="both"/>
        <w:rPr>
          <w:rFonts w:ascii="Arial" w:hAnsi="Arial"/>
          <w:color w:val="FFC000"/>
          <w:sz w:val="20"/>
          <w:szCs w:val="20"/>
        </w:rPr>
      </w:pPr>
      <w:hyperlink r:id="rId8" w:history="1">
        <w:r w:rsidR="00B31729" w:rsidRPr="0042676A">
          <w:rPr>
            <w:rStyle w:val="Hyperlink"/>
            <w:rFonts w:ascii="Arial" w:hAnsi="Arial"/>
            <w:color w:val="FFC000"/>
            <w:sz w:val="20"/>
            <w:szCs w:val="20"/>
          </w:rPr>
          <w:t>Sporočilo o objavi razpisa s povezavo na razpis in informacijami o informativnem dnevu</w:t>
        </w:r>
      </w:hyperlink>
    </w:p>
    <w:p w14:paraId="13455C3F" w14:textId="77777777" w:rsidR="00B31729" w:rsidRPr="0042676A" w:rsidRDefault="00B31729" w:rsidP="001E0C23">
      <w:pPr>
        <w:jc w:val="both"/>
        <w:rPr>
          <w:rFonts w:ascii="Arial" w:hAnsi="Arial"/>
          <w:color w:val="002060"/>
          <w:sz w:val="20"/>
          <w:szCs w:val="20"/>
        </w:rPr>
      </w:pPr>
    </w:p>
    <w:p w14:paraId="7B32B30E" w14:textId="77777777" w:rsidR="00D41F4F" w:rsidRPr="0042676A" w:rsidRDefault="00D41F4F" w:rsidP="00C22439">
      <w:pPr>
        <w:jc w:val="both"/>
        <w:rPr>
          <w:rFonts w:ascii="Arial" w:hAnsi="Arial"/>
          <w:color w:val="002060"/>
          <w:sz w:val="20"/>
          <w:szCs w:val="20"/>
        </w:rPr>
      </w:pPr>
    </w:p>
    <w:p w14:paraId="265B12B0" w14:textId="77777777" w:rsidR="0042676A" w:rsidRPr="0042676A" w:rsidRDefault="0042676A" w:rsidP="0042676A">
      <w:pPr>
        <w:jc w:val="both"/>
        <w:rPr>
          <w:rFonts w:ascii="Arial" w:hAnsi="Arial"/>
          <w:b/>
          <w:bCs/>
          <w:color w:val="002060"/>
          <w:sz w:val="20"/>
          <w:szCs w:val="20"/>
        </w:rPr>
      </w:pPr>
      <w:r w:rsidRPr="0042676A">
        <w:rPr>
          <w:rFonts w:ascii="Arial" w:hAnsi="Arial"/>
          <w:b/>
          <w:bCs/>
          <w:color w:val="002060"/>
          <w:sz w:val="20"/>
          <w:szCs w:val="20"/>
        </w:rPr>
        <w:t>Začel se je nov letni cikel reformnih projektov v okviru instrumenta za tehnično podporo</w:t>
      </w:r>
    </w:p>
    <w:p w14:paraId="0EE8B6D1" w14:textId="77777777" w:rsidR="0042676A" w:rsidRPr="0042676A" w:rsidRDefault="0042676A" w:rsidP="0042676A">
      <w:pPr>
        <w:jc w:val="both"/>
        <w:rPr>
          <w:rFonts w:ascii="Arial" w:hAnsi="Arial"/>
          <w:color w:val="002060"/>
          <w:sz w:val="20"/>
          <w:szCs w:val="20"/>
        </w:rPr>
      </w:pPr>
    </w:p>
    <w:p w14:paraId="10BA3157" w14:textId="77777777" w:rsidR="0042676A" w:rsidRPr="0042676A" w:rsidRDefault="0042676A" w:rsidP="0042676A">
      <w:pPr>
        <w:jc w:val="both"/>
        <w:rPr>
          <w:rFonts w:ascii="Arial" w:hAnsi="Arial"/>
          <w:color w:val="002060"/>
          <w:sz w:val="20"/>
          <w:szCs w:val="20"/>
        </w:rPr>
      </w:pPr>
      <w:r w:rsidRPr="0042676A">
        <w:rPr>
          <w:rFonts w:ascii="Arial" w:hAnsi="Arial"/>
          <w:color w:val="002060"/>
          <w:sz w:val="20"/>
          <w:szCs w:val="20"/>
        </w:rPr>
        <w:t>Začel se je nov letni cikel reformnih projektov, ki jih lahko države članice predložijo do konca letošnjega oktobra v okviru instrumenta za tehnično podporo. Evropska komisija je predstavila 12 novih vodilnih projektov za leto 2024, ki zajemajo prednostna področja EU, kot so zeleni prehod, digitalizacija ter razvoj znanj in spretnosti. Osredotočajo se zlasti na pripravo javne uprave na prihodnost, kar vključuje nadaljevanje projekta izmenjav za sodelovanje javnih uprav (PACE).</w:t>
      </w:r>
    </w:p>
    <w:p w14:paraId="5203A009" w14:textId="77777777" w:rsidR="0042676A" w:rsidRPr="0042676A" w:rsidRDefault="0042676A" w:rsidP="0042676A">
      <w:pPr>
        <w:jc w:val="both"/>
        <w:rPr>
          <w:rFonts w:ascii="Arial" w:hAnsi="Arial"/>
          <w:color w:val="002060"/>
          <w:sz w:val="20"/>
          <w:szCs w:val="20"/>
        </w:rPr>
      </w:pPr>
    </w:p>
    <w:p w14:paraId="701F5368" w14:textId="77777777" w:rsidR="0042676A" w:rsidRPr="0042676A" w:rsidRDefault="0042676A" w:rsidP="0042676A">
      <w:pPr>
        <w:jc w:val="both"/>
        <w:rPr>
          <w:rFonts w:ascii="Arial" w:hAnsi="Arial"/>
          <w:color w:val="002060"/>
          <w:sz w:val="20"/>
          <w:szCs w:val="20"/>
        </w:rPr>
      </w:pPr>
      <w:r w:rsidRPr="0042676A">
        <w:rPr>
          <w:rFonts w:ascii="Arial" w:hAnsi="Arial"/>
          <w:color w:val="002060"/>
          <w:sz w:val="20"/>
          <w:szCs w:val="20"/>
        </w:rPr>
        <w:t>Več:</w:t>
      </w:r>
    </w:p>
    <w:p w14:paraId="7CCFAA53" w14:textId="77777777" w:rsidR="0042676A" w:rsidRPr="0042676A" w:rsidRDefault="00000000" w:rsidP="0042676A">
      <w:pPr>
        <w:jc w:val="both"/>
        <w:rPr>
          <w:rFonts w:ascii="Arial" w:hAnsi="Arial"/>
          <w:color w:val="FFC000"/>
          <w:sz w:val="20"/>
          <w:szCs w:val="20"/>
        </w:rPr>
      </w:pPr>
      <w:hyperlink r:id="rId9" w:history="1">
        <w:r w:rsidR="0042676A" w:rsidRPr="0042676A">
          <w:rPr>
            <w:rStyle w:val="Hyperlink"/>
            <w:rFonts w:ascii="Arial" w:hAnsi="Arial"/>
            <w:color w:val="FFC000"/>
            <w:sz w:val="20"/>
            <w:szCs w:val="20"/>
          </w:rPr>
          <w:t>Poziv in odgovori na najpogostejša vprašanja</w:t>
        </w:r>
      </w:hyperlink>
    </w:p>
    <w:p w14:paraId="45C62192" w14:textId="77777777" w:rsidR="0042676A" w:rsidRPr="0042676A" w:rsidRDefault="0042676A" w:rsidP="0042676A">
      <w:pPr>
        <w:jc w:val="both"/>
        <w:rPr>
          <w:rFonts w:ascii="Arial" w:hAnsi="Arial"/>
          <w:color w:val="002060"/>
          <w:sz w:val="20"/>
          <w:szCs w:val="20"/>
        </w:rPr>
      </w:pPr>
      <w:r w:rsidRPr="0042676A">
        <w:rPr>
          <w:rFonts w:ascii="Arial" w:hAnsi="Arial"/>
          <w:color w:val="002060"/>
          <w:sz w:val="20"/>
          <w:szCs w:val="20"/>
        </w:rPr>
        <w:t>in</w:t>
      </w:r>
    </w:p>
    <w:p w14:paraId="5D02BBC6" w14:textId="77777777" w:rsidR="0042676A" w:rsidRPr="0042676A" w:rsidRDefault="00000000" w:rsidP="0042676A">
      <w:pPr>
        <w:jc w:val="both"/>
        <w:rPr>
          <w:rFonts w:ascii="Arial" w:hAnsi="Arial"/>
          <w:color w:val="FFC000"/>
          <w:sz w:val="20"/>
          <w:szCs w:val="20"/>
        </w:rPr>
      </w:pPr>
      <w:hyperlink r:id="rId10" w:anchor="ref-2024-flagship-technical-support-projects" w:history="1">
        <w:r w:rsidR="0042676A" w:rsidRPr="0042676A">
          <w:rPr>
            <w:rStyle w:val="Hyperlink"/>
            <w:rFonts w:ascii="Arial" w:hAnsi="Arial"/>
            <w:color w:val="FFC000"/>
            <w:sz w:val="20"/>
            <w:szCs w:val="20"/>
          </w:rPr>
          <w:t>Projekti</w:t>
        </w:r>
      </w:hyperlink>
    </w:p>
    <w:p w14:paraId="602C80EE" w14:textId="77777777" w:rsidR="0042676A" w:rsidRPr="0042676A" w:rsidRDefault="0042676A" w:rsidP="00C22439">
      <w:pPr>
        <w:jc w:val="both"/>
        <w:rPr>
          <w:rFonts w:ascii="Arial" w:hAnsi="Arial"/>
          <w:color w:val="002060"/>
          <w:sz w:val="20"/>
          <w:szCs w:val="20"/>
        </w:rPr>
      </w:pPr>
    </w:p>
    <w:p w14:paraId="04D3B395" w14:textId="77777777" w:rsidR="0042676A" w:rsidRPr="0042676A" w:rsidRDefault="0042676A" w:rsidP="00C22439">
      <w:pPr>
        <w:jc w:val="both"/>
        <w:rPr>
          <w:rFonts w:ascii="Arial" w:hAnsi="Arial"/>
          <w:color w:val="002060"/>
          <w:sz w:val="20"/>
          <w:szCs w:val="20"/>
        </w:rPr>
      </w:pPr>
    </w:p>
    <w:p w14:paraId="47F4FC07" w14:textId="77777777" w:rsidR="0042676A" w:rsidRPr="0042676A" w:rsidRDefault="0042676A" w:rsidP="0042676A">
      <w:pPr>
        <w:jc w:val="both"/>
        <w:rPr>
          <w:rFonts w:ascii="Arial" w:hAnsi="Arial"/>
          <w:b/>
          <w:bCs/>
          <w:color w:val="002060"/>
          <w:sz w:val="20"/>
          <w:szCs w:val="20"/>
        </w:rPr>
      </w:pPr>
      <w:r w:rsidRPr="0042676A">
        <w:rPr>
          <w:rFonts w:ascii="Arial" w:hAnsi="Arial"/>
          <w:b/>
          <w:bCs/>
          <w:color w:val="002060"/>
          <w:sz w:val="20"/>
          <w:szCs w:val="20"/>
        </w:rPr>
        <w:t>Raziskava o elektronskem izdajanju računov</w:t>
      </w:r>
    </w:p>
    <w:p w14:paraId="1C757B87" w14:textId="77777777" w:rsidR="0042676A" w:rsidRPr="0042676A" w:rsidRDefault="0042676A" w:rsidP="0042676A">
      <w:pPr>
        <w:jc w:val="both"/>
        <w:rPr>
          <w:rFonts w:ascii="Arial" w:hAnsi="Arial"/>
          <w:color w:val="002060"/>
          <w:sz w:val="20"/>
          <w:szCs w:val="20"/>
        </w:rPr>
      </w:pPr>
    </w:p>
    <w:p w14:paraId="62109B7E" w14:textId="77777777" w:rsidR="0042676A" w:rsidRPr="0042676A" w:rsidRDefault="0042676A" w:rsidP="0042676A">
      <w:pPr>
        <w:jc w:val="both"/>
        <w:rPr>
          <w:rFonts w:ascii="Arial" w:hAnsi="Arial"/>
          <w:color w:val="002060"/>
          <w:sz w:val="20"/>
          <w:szCs w:val="20"/>
        </w:rPr>
      </w:pPr>
      <w:r w:rsidRPr="0042676A">
        <w:rPr>
          <w:rFonts w:ascii="Arial" w:hAnsi="Arial"/>
          <w:color w:val="002060"/>
          <w:sz w:val="20"/>
          <w:szCs w:val="20"/>
        </w:rPr>
        <w:t>Evropska komisija do 30. junija prek ankete zbira mnenja in predloge o elektronskem izdajanju računov.</w:t>
      </w:r>
    </w:p>
    <w:p w14:paraId="322A2C7B" w14:textId="77777777" w:rsidR="0042676A" w:rsidRPr="0042676A" w:rsidRDefault="0042676A" w:rsidP="0042676A">
      <w:pPr>
        <w:jc w:val="both"/>
        <w:rPr>
          <w:rFonts w:ascii="Arial" w:hAnsi="Arial"/>
          <w:color w:val="002060"/>
          <w:sz w:val="20"/>
          <w:szCs w:val="20"/>
        </w:rPr>
      </w:pPr>
    </w:p>
    <w:p w14:paraId="16F94041" w14:textId="77777777" w:rsidR="0042676A" w:rsidRPr="0042676A" w:rsidRDefault="0042676A" w:rsidP="0042676A">
      <w:pPr>
        <w:jc w:val="both"/>
        <w:rPr>
          <w:rFonts w:ascii="Arial" w:hAnsi="Arial"/>
          <w:color w:val="002060"/>
          <w:sz w:val="20"/>
          <w:szCs w:val="20"/>
        </w:rPr>
      </w:pPr>
      <w:r w:rsidRPr="0042676A">
        <w:rPr>
          <w:rFonts w:ascii="Arial" w:hAnsi="Arial"/>
          <w:color w:val="002060"/>
          <w:sz w:val="20"/>
          <w:szCs w:val="20"/>
        </w:rPr>
        <w:t>Več:</w:t>
      </w:r>
    </w:p>
    <w:p w14:paraId="7322C1B8" w14:textId="77777777" w:rsidR="0042676A" w:rsidRPr="0042676A" w:rsidRDefault="00000000" w:rsidP="0042676A">
      <w:pPr>
        <w:jc w:val="both"/>
        <w:rPr>
          <w:rFonts w:ascii="Arial" w:hAnsi="Arial"/>
          <w:color w:val="FFC000"/>
          <w:sz w:val="20"/>
          <w:szCs w:val="20"/>
        </w:rPr>
      </w:pPr>
      <w:hyperlink r:id="rId11" w:history="1">
        <w:r w:rsidR="0042676A" w:rsidRPr="0042676A">
          <w:rPr>
            <w:rStyle w:val="Hyperlink"/>
            <w:rFonts w:ascii="Arial" w:hAnsi="Arial"/>
            <w:color w:val="FFC000"/>
            <w:sz w:val="20"/>
            <w:szCs w:val="20"/>
          </w:rPr>
          <w:t>Anketa</w:t>
        </w:r>
      </w:hyperlink>
    </w:p>
    <w:p w14:paraId="4A99D540" w14:textId="77777777" w:rsidR="0042676A" w:rsidRPr="0042676A" w:rsidRDefault="0042676A" w:rsidP="00C22439">
      <w:pPr>
        <w:jc w:val="both"/>
        <w:rPr>
          <w:rFonts w:ascii="Arial" w:hAnsi="Arial"/>
          <w:color w:val="002060"/>
          <w:sz w:val="20"/>
          <w:szCs w:val="20"/>
        </w:rPr>
      </w:pPr>
    </w:p>
    <w:p w14:paraId="2AC1E765" w14:textId="77777777" w:rsidR="0042676A" w:rsidRPr="0042676A" w:rsidRDefault="0042676A" w:rsidP="00C22439">
      <w:pPr>
        <w:jc w:val="both"/>
        <w:rPr>
          <w:rFonts w:ascii="Arial" w:hAnsi="Arial"/>
          <w:color w:val="002060"/>
          <w:sz w:val="20"/>
          <w:szCs w:val="20"/>
        </w:rPr>
      </w:pPr>
    </w:p>
    <w:p w14:paraId="4D824D2D" w14:textId="77777777" w:rsidR="0042676A" w:rsidRPr="0042676A" w:rsidRDefault="0042676A" w:rsidP="0042676A">
      <w:pPr>
        <w:jc w:val="both"/>
        <w:rPr>
          <w:rFonts w:ascii="Arial" w:hAnsi="Arial"/>
          <w:b/>
          <w:bCs/>
          <w:color w:val="002060"/>
          <w:sz w:val="20"/>
          <w:szCs w:val="20"/>
        </w:rPr>
      </w:pPr>
      <w:r w:rsidRPr="0042676A">
        <w:rPr>
          <w:rFonts w:ascii="Arial" w:hAnsi="Arial"/>
          <w:b/>
          <w:bCs/>
          <w:color w:val="002060"/>
          <w:sz w:val="20"/>
          <w:szCs w:val="20"/>
        </w:rPr>
        <w:t>Sodba o pravici do odstopa od pogodbe</w:t>
      </w:r>
    </w:p>
    <w:p w14:paraId="1AD7990F" w14:textId="77777777" w:rsidR="0042676A" w:rsidRPr="0042676A" w:rsidRDefault="0042676A" w:rsidP="0042676A">
      <w:pPr>
        <w:jc w:val="both"/>
        <w:rPr>
          <w:rFonts w:ascii="Arial" w:hAnsi="Arial"/>
          <w:color w:val="002060"/>
          <w:sz w:val="20"/>
          <w:szCs w:val="20"/>
        </w:rPr>
      </w:pPr>
    </w:p>
    <w:p w14:paraId="5C178287" w14:textId="77777777" w:rsidR="0042676A" w:rsidRPr="0042676A" w:rsidRDefault="0042676A" w:rsidP="0042676A">
      <w:pPr>
        <w:jc w:val="both"/>
        <w:rPr>
          <w:rFonts w:ascii="Arial" w:hAnsi="Arial"/>
          <w:color w:val="002060"/>
          <w:sz w:val="20"/>
          <w:szCs w:val="20"/>
        </w:rPr>
      </w:pPr>
      <w:r w:rsidRPr="0042676A">
        <w:rPr>
          <w:rFonts w:ascii="Arial" w:hAnsi="Arial"/>
          <w:color w:val="002060"/>
          <w:sz w:val="20"/>
          <w:szCs w:val="20"/>
        </w:rPr>
        <w:t>Potrošnik je oproščen vsakršne obveznosti plačila za storitve, opravljene na podlagi pogodbe o opravljanju storitev, sklenjene zunaj poslovnih prostorov, kadar ga zadevni trgovec ni obvestil o njegovi pravici do odstopa od pogodbe in je ta potrošnik svojo pravico do odstopa od pogodbe uveljavil po izpolnitvi te pogodbe, je razsodilo Sodišče EU.</w:t>
      </w:r>
    </w:p>
    <w:p w14:paraId="0CF76A16" w14:textId="77777777" w:rsidR="0042676A" w:rsidRPr="0042676A" w:rsidRDefault="0042676A" w:rsidP="0042676A">
      <w:pPr>
        <w:jc w:val="both"/>
        <w:rPr>
          <w:rFonts w:ascii="Arial" w:hAnsi="Arial"/>
          <w:color w:val="002060"/>
          <w:sz w:val="20"/>
          <w:szCs w:val="20"/>
        </w:rPr>
      </w:pPr>
    </w:p>
    <w:p w14:paraId="0AAD76D5" w14:textId="77777777" w:rsidR="0042676A" w:rsidRPr="0042676A" w:rsidRDefault="0042676A" w:rsidP="0042676A">
      <w:pPr>
        <w:jc w:val="both"/>
        <w:rPr>
          <w:rFonts w:ascii="Arial" w:hAnsi="Arial"/>
          <w:color w:val="002060"/>
          <w:sz w:val="20"/>
          <w:szCs w:val="20"/>
        </w:rPr>
      </w:pPr>
      <w:r w:rsidRPr="0042676A">
        <w:rPr>
          <w:rFonts w:ascii="Arial" w:hAnsi="Arial"/>
          <w:color w:val="002060"/>
          <w:sz w:val="20"/>
          <w:szCs w:val="20"/>
        </w:rPr>
        <w:t>Več:</w:t>
      </w:r>
    </w:p>
    <w:p w14:paraId="3BB47CA1" w14:textId="77777777" w:rsidR="0042676A" w:rsidRPr="0042676A" w:rsidRDefault="00000000" w:rsidP="0042676A">
      <w:pPr>
        <w:jc w:val="both"/>
        <w:rPr>
          <w:rFonts w:ascii="Arial" w:hAnsi="Arial"/>
          <w:color w:val="FFC000"/>
          <w:sz w:val="20"/>
          <w:szCs w:val="20"/>
        </w:rPr>
      </w:pPr>
      <w:hyperlink r:id="rId12" w:history="1">
        <w:r w:rsidR="0042676A" w:rsidRPr="0042676A">
          <w:rPr>
            <w:rStyle w:val="Hyperlink"/>
            <w:rFonts w:ascii="Arial" w:hAnsi="Arial"/>
            <w:color w:val="FFC000"/>
            <w:sz w:val="20"/>
            <w:szCs w:val="20"/>
          </w:rPr>
          <w:t>Sodba</w:t>
        </w:r>
      </w:hyperlink>
    </w:p>
    <w:p w14:paraId="2B0AA5C8" w14:textId="77777777" w:rsidR="0042676A" w:rsidRPr="0042676A" w:rsidRDefault="0042676A" w:rsidP="00C22439">
      <w:pPr>
        <w:jc w:val="both"/>
        <w:rPr>
          <w:rFonts w:ascii="Arial" w:hAnsi="Arial"/>
          <w:color w:val="002060"/>
          <w:sz w:val="20"/>
          <w:szCs w:val="20"/>
        </w:rPr>
      </w:pPr>
    </w:p>
    <w:p w14:paraId="79E7D461" w14:textId="77777777" w:rsidR="0042676A" w:rsidRPr="0042676A" w:rsidRDefault="0042676A" w:rsidP="00C22439">
      <w:pPr>
        <w:jc w:val="both"/>
        <w:rPr>
          <w:rFonts w:ascii="Arial" w:hAnsi="Arial"/>
          <w:color w:val="002060"/>
          <w:sz w:val="20"/>
          <w:szCs w:val="20"/>
        </w:rPr>
      </w:pPr>
    </w:p>
    <w:p w14:paraId="6DE0F8B4" w14:textId="77777777" w:rsidR="0042676A" w:rsidRPr="0042676A" w:rsidRDefault="0042676A" w:rsidP="0042676A">
      <w:pPr>
        <w:jc w:val="both"/>
        <w:rPr>
          <w:rFonts w:ascii="Arial" w:hAnsi="Arial"/>
          <w:b/>
          <w:bCs/>
          <w:color w:val="002060"/>
          <w:sz w:val="20"/>
          <w:szCs w:val="20"/>
        </w:rPr>
      </w:pPr>
      <w:r w:rsidRPr="0042676A">
        <w:rPr>
          <w:rFonts w:ascii="Arial" w:hAnsi="Arial"/>
          <w:b/>
          <w:bCs/>
          <w:color w:val="002060"/>
          <w:sz w:val="20"/>
          <w:szCs w:val="20"/>
        </w:rPr>
        <w:lastRenderedPageBreak/>
        <w:t>Nadzor ECB nad kreditnim tveganjem bank je treba izboljšati</w:t>
      </w:r>
    </w:p>
    <w:p w14:paraId="6AB1F378" w14:textId="77777777" w:rsidR="0042676A" w:rsidRPr="0042676A" w:rsidRDefault="0042676A" w:rsidP="0042676A">
      <w:pPr>
        <w:jc w:val="both"/>
        <w:rPr>
          <w:rFonts w:ascii="Arial" w:hAnsi="Arial"/>
          <w:color w:val="002060"/>
          <w:sz w:val="20"/>
          <w:szCs w:val="20"/>
        </w:rPr>
      </w:pPr>
    </w:p>
    <w:p w14:paraId="47D639F4" w14:textId="77777777" w:rsidR="0042676A" w:rsidRPr="0042676A" w:rsidRDefault="0042676A" w:rsidP="0042676A">
      <w:pPr>
        <w:jc w:val="both"/>
        <w:rPr>
          <w:rFonts w:ascii="Arial" w:hAnsi="Arial"/>
          <w:color w:val="002060"/>
          <w:sz w:val="20"/>
          <w:szCs w:val="20"/>
        </w:rPr>
      </w:pPr>
      <w:r w:rsidRPr="0042676A">
        <w:rPr>
          <w:rFonts w:ascii="Arial" w:hAnsi="Arial"/>
          <w:color w:val="002060"/>
          <w:sz w:val="20"/>
          <w:szCs w:val="20"/>
        </w:rPr>
        <w:t>Evropska centralna banka (ECB) mora okrepiti svoj nadzor, s katerim bi zagotovila, da banke v EU ustrezno upravljajo svoje kreditno tveganje, zlasti v zvezi s posojilojemalci, ki ne odplačujejo svojih posojil, v poročilu navaja Evropsko računsko sodišče.</w:t>
      </w:r>
    </w:p>
    <w:p w14:paraId="007A2D0C" w14:textId="77777777" w:rsidR="0042676A" w:rsidRPr="0042676A" w:rsidRDefault="0042676A" w:rsidP="0042676A">
      <w:pPr>
        <w:jc w:val="both"/>
        <w:rPr>
          <w:rFonts w:ascii="Arial" w:hAnsi="Arial"/>
          <w:color w:val="002060"/>
          <w:sz w:val="20"/>
          <w:szCs w:val="20"/>
        </w:rPr>
      </w:pPr>
    </w:p>
    <w:p w14:paraId="6A1ECBF2" w14:textId="77777777" w:rsidR="0042676A" w:rsidRPr="0042676A" w:rsidRDefault="0042676A" w:rsidP="0042676A">
      <w:pPr>
        <w:jc w:val="both"/>
        <w:rPr>
          <w:rFonts w:ascii="Arial" w:hAnsi="Arial"/>
          <w:color w:val="002060"/>
          <w:sz w:val="20"/>
          <w:szCs w:val="20"/>
        </w:rPr>
      </w:pPr>
      <w:r w:rsidRPr="0042676A">
        <w:rPr>
          <w:rFonts w:ascii="Arial" w:hAnsi="Arial"/>
          <w:color w:val="002060"/>
          <w:sz w:val="20"/>
          <w:szCs w:val="20"/>
        </w:rPr>
        <w:t>Več:</w:t>
      </w:r>
    </w:p>
    <w:p w14:paraId="3A82F1A9" w14:textId="77777777" w:rsidR="0042676A" w:rsidRPr="0042676A" w:rsidRDefault="00000000" w:rsidP="0042676A">
      <w:pPr>
        <w:jc w:val="both"/>
        <w:rPr>
          <w:rStyle w:val="Hyperlink"/>
          <w:rFonts w:ascii="Arial" w:hAnsi="Arial"/>
          <w:color w:val="FFC000"/>
          <w:sz w:val="20"/>
          <w:szCs w:val="20"/>
        </w:rPr>
      </w:pPr>
      <w:hyperlink r:id="rId13" w:history="1">
        <w:r w:rsidR="0042676A" w:rsidRPr="0042676A">
          <w:rPr>
            <w:rStyle w:val="Hyperlink"/>
            <w:rFonts w:ascii="Arial" w:hAnsi="Arial"/>
            <w:color w:val="FFC000"/>
            <w:sz w:val="20"/>
            <w:szCs w:val="20"/>
          </w:rPr>
          <w:t>Poročilo</w:t>
        </w:r>
      </w:hyperlink>
    </w:p>
    <w:p w14:paraId="04568FB5" w14:textId="77777777" w:rsidR="0042676A" w:rsidRPr="0042676A" w:rsidRDefault="0042676A" w:rsidP="0042676A">
      <w:pPr>
        <w:jc w:val="both"/>
        <w:rPr>
          <w:rFonts w:ascii="Arial" w:hAnsi="Arial"/>
          <w:color w:val="002060"/>
          <w:sz w:val="20"/>
          <w:szCs w:val="20"/>
        </w:rPr>
      </w:pPr>
    </w:p>
    <w:p w14:paraId="4C7DB12B" w14:textId="77777777" w:rsidR="0042676A" w:rsidRPr="0042676A" w:rsidRDefault="0042676A" w:rsidP="0042676A">
      <w:pPr>
        <w:jc w:val="both"/>
        <w:rPr>
          <w:rFonts w:ascii="Arial" w:hAnsi="Arial"/>
          <w:color w:val="002060"/>
          <w:sz w:val="20"/>
          <w:szCs w:val="20"/>
        </w:rPr>
      </w:pPr>
    </w:p>
    <w:p w14:paraId="0D02911F" w14:textId="77777777" w:rsidR="0042676A" w:rsidRPr="0042676A" w:rsidRDefault="0042676A" w:rsidP="0042676A">
      <w:pPr>
        <w:jc w:val="both"/>
        <w:rPr>
          <w:rFonts w:ascii="Arial" w:hAnsi="Arial"/>
          <w:b/>
          <w:bCs/>
          <w:color w:val="002060"/>
          <w:sz w:val="20"/>
          <w:szCs w:val="20"/>
        </w:rPr>
      </w:pPr>
      <w:r w:rsidRPr="0042676A">
        <w:rPr>
          <w:rFonts w:ascii="Arial" w:hAnsi="Arial"/>
          <w:b/>
          <w:bCs/>
          <w:color w:val="002060"/>
          <w:sz w:val="20"/>
          <w:szCs w:val="20"/>
        </w:rPr>
        <w:t>Politični dogovor o novih pravilih o davčni preglednosti za transakcije s kriptosredstvi</w:t>
      </w:r>
    </w:p>
    <w:p w14:paraId="36860537" w14:textId="77777777" w:rsidR="0042676A" w:rsidRPr="0042676A" w:rsidRDefault="0042676A" w:rsidP="0042676A">
      <w:pPr>
        <w:jc w:val="both"/>
        <w:rPr>
          <w:rFonts w:ascii="Arial" w:hAnsi="Arial"/>
          <w:color w:val="002060"/>
          <w:sz w:val="20"/>
          <w:szCs w:val="20"/>
        </w:rPr>
      </w:pPr>
    </w:p>
    <w:p w14:paraId="4E82D63D" w14:textId="77777777" w:rsidR="0042676A" w:rsidRPr="0042676A" w:rsidRDefault="0042676A" w:rsidP="0042676A">
      <w:pPr>
        <w:jc w:val="both"/>
        <w:rPr>
          <w:rFonts w:ascii="Arial" w:hAnsi="Arial"/>
          <w:color w:val="002060"/>
          <w:sz w:val="20"/>
          <w:szCs w:val="20"/>
        </w:rPr>
      </w:pPr>
      <w:r w:rsidRPr="0042676A">
        <w:rPr>
          <w:rFonts w:ascii="Arial" w:hAnsi="Arial"/>
          <w:color w:val="002060"/>
          <w:sz w:val="20"/>
          <w:szCs w:val="20"/>
        </w:rPr>
        <w:t>Finančni ministri EU so sprejeli politični dogovor o novih pravilih o davčni preglednosti za vse ponudnike storitev, ki omogočajo transakcije s kriptosredstvi za stranke, ki so rezidenti EU. Nove zahteve glede poročanja o kriptosredstvih, elektronskem denarju in centralnobančnih digitalnih valutah bodo začele veljati 1. januarja 2026. Dokončno sprejetje novih pravil bo mogoče, ko bo na voljo posvetovalno mnenje Evropskega parlamenta.</w:t>
      </w:r>
    </w:p>
    <w:p w14:paraId="0C61B20A" w14:textId="77777777" w:rsidR="0042676A" w:rsidRPr="0042676A" w:rsidRDefault="0042676A" w:rsidP="0042676A">
      <w:pPr>
        <w:jc w:val="both"/>
        <w:rPr>
          <w:rFonts w:ascii="Arial" w:hAnsi="Arial"/>
          <w:color w:val="002060"/>
          <w:sz w:val="20"/>
          <w:szCs w:val="20"/>
        </w:rPr>
      </w:pPr>
    </w:p>
    <w:p w14:paraId="1AF7CEE0" w14:textId="77777777" w:rsidR="0042676A" w:rsidRPr="0042676A" w:rsidRDefault="0042676A" w:rsidP="0042676A">
      <w:pPr>
        <w:jc w:val="both"/>
        <w:rPr>
          <w:rFonts w:ascii="Arial" w:hAnsi="Arial"/>
          <w:color w:val="002060"/>
          <w:sz w:val="20"/>
          <w:szCs w:val="20"/>
        </w:rPr>
      </w:pPr>
      <w:r w:rsidRPr="0042676A">
        <w:rPr>
          <w:rFonts w:ascii="Arial" w:hAnsi="Arial"/>
          <w:color w:val="002060"/>
          <w:sz w:val="20"/>
          <w:szCs w:val="20"/>
        </w:rPr>
        <w:t>Več:</w:t>
      </w:r>
    </w:p>
    <w:p w14:paraId="2FC8256B" w14:textId="77777777" w:rsidR="0042676A" w:rsidRDefault="00000000" w:rsidP="0042676A">
      <w:pPr>
        <w:jc w:val="both"/>
        <w:rPr>
          <w:rStyle w:val="Hyperlink"/>
          <w:rFonts w:ascii="Arial" w:hAnsi="Arial"/>
          <w:color w:val="FFC000"/>
          <w:sz w:val="20"/>
          <w:szCs w:val="20"/>
        </w:rPr>
      </w:pPr>
      <w:hyperlink r:id="rId14" w:history="1">
        <w:r w:rsidR="0042676A" w:rsidRPr="0042676A">
          <w:rPr>
            <w:rStyle w:val="Hyperlink"/>
            <w:rFonts w:ascii="Arial" w:hAnsi="Arial"/>
            <w:color w:val="FFC000"/>
            <w:sz w:val="20"/>
            <w:szCs w:val="20"/>
          </w:rPr>
          <w:t>Sporočilo Evropske komisije</w:t>
        </w:r>
      </w:hyperlink>
    </w:p>
    <w:p w14:paraId="45FBF221" w14:textId="77777777" w:rsidR="00BF4734" w:rsidRDefault="00BF4734" w:rsidP="0042676A">
      <w:pPr>
        <w:jc w:val="both"/>
        <w:rPr>
          <w:rStyle w:val="Hyperlink"/>
          <w:rFonts w:ascii="Arial" w:hAnsi="Arial"/>
          <w:color w:val="FFC000"/>
          <w:sz w:val="20"/>
          <w:szCs w:val="20"/>
        </w:rPr>
      </w:pPr>
    </w:p>
    <w:p w14:paraId="64EA710D" w14:textId="77777777" w:rsidR="00BF4734" w:rsidRDefault="00BF4734" w:rsidP="0042676A">
      <w:pPr>
        <w:jc w:val="both"/>
        <w:rPr>
          <w:rStyle w:val="Hyperlink"/>
          <w:rFonts w:ascii="Arial" w:hAnsi="Arial"/>
          <w:color w:val="FFC000"/>
          <w:sz w:val="20"/>
          <w:szCs w:val="20"/>
        </w:rPr>
      </w:pPr>
    </w:p>
    <w:p w14:paraId="635D2E02" w14:textId="77777777" w:rsidR="00BF4734" w:rsidRPr="00BF4734" w:rsidRDefault="00BF4734" w:rsidP="00BF4734">
      <w:pPr>
        <w:jc w:val="both"/>
        <w:rPr>
          <w:rFonts w:ascii="Arial" w:hAnsi="Arial"/>
          <w:b/>
          <w:bCs/>
          <w:color w:val="002060"/>
          <w:sz w:val="20"/>
          <w:szCs w:val="20"/>
        </w:rPr>
      </w:pPr>
      <w:r w:rsidRPr="00BF4734">
        <w:rPr>
          <w:rFonts w:ascii="Arial" w:hAnsi="Arial"/>
          <w:b/>
          <w:bCs/>
          <w:color w:val="002060"/>
          <w:sz w:val="20"/>
          <w:szCs w:val="20"/>
        </w:rPr>
        <w:t>Evropska komisija je objavila poročilo o modrem gospodarstvu</w:t>
      </w:r>
    </w:p>
    <w:p w14:paraId="08BAF1ED" w14:textId="77777777" w:rsidR="00BF4734" w:rsidRPr="00BF4734" w:rsidRDefault="00BF4734" w:rsidP="00BF4734">
      <w:pPr>
        <w:jc w:val="both"/>
        <w:rPr>
          <w:rFonts w:ascii="Arial" w:hAnsi="Arial"/>
          <w:color w:val="002060"/>
          <w:sz w:val="20"/>
          <w:szCs w:val="20"/>
        </w:rPr>
      </w:pPr>
    </w:p>
    <w:p w14:paraId="06DFB37E" w14:textId="77777777" w:rsidR="00BF4734" w:rsidRPr="00BF4734" w:rsidRDefault="00BF4734" w:rsidP="00BF4734">
      <w:pPr>
        <w:jc w:val="both"/>
        <w:rPr>
          <w:rFonts w:ascii="Arial" w:hAnsi="Arial"/>
          <w:color w:val="002060"/>
          <w:sz w:val="20"/>
          <w:szCs w:val="20"/>
        </w:rPr>
      </w:pPr>
      <w:r w:rsidRPr="00BF4734">
        <w:rPr>
          <w:rFonts w:ascii="Arial" w:hAnsi="Arial"/>
          <w:color w:val="002060"/>
          <w:sz w:val="20"/>
          <w:szCs w:val="20"/>
        </w:rPr>
        <w:t>Evropska komisija v letošnjem poročilu o modrem gospodarstvu predstavlja razvoj tega sektorja od leta 2010.</w:t>
      </w:r>
    </w:p>
    <w:p w14:paraId="4EF5AA8F" w14:textId="77777777" w:rsidR="00BF4734" w:rsidRPr="00BF4734" w:rsidRDefault="00BF4734" w:rsidP="00BF4734">
      <w:pPr>
        <w:jc w:val="both"/>
        <w:rPr>
          <w:rFonts w:ascii="Arial" w:hAnsi="Arial"/>
          <w:color w:val="002060"/>
          <w:sz w:val="20"/>
          <w:szCs w:val="20"/>
        </w:rPr>
      </w:pPr>
    </w:p>
    <w:p w14:paraId="419D1C39" w14:textId="77777777" w:rsidR="00BF4734" w:rsidRPr="00BF4734" w:rsidRDefault="00BF4734" w:rsidP="00BF4734">
      <w:pPr>
        <w:jc w:val="both"/>
        <w:rPr>
          <w:rFonts w:ascii="Arial" w:hAnsi="Arial"/>
          <w:color w:val="002060"/>
          <w:sz w:val="20"/>
          <w:szCs w:val="20"/>
        </w:rPr>
      </w:pPr>
      <w:r w:rsidRPr="00BF4734">
        <w:rPr>
          <w:rFonts w:ascii="Arial" w:hAnsi="Arial"/>
          <w:color w:val="002060"/>
          <w:sz w:val="20"/>
          <w:szCs w:val="20"/>
        </w:rPr>
        <w:t>Več:</w:t>
      </w:r>
    </w:p>
    <w:p w14:paraId="43507C3E" w14:textId="77777777" w:rsidR="00BF4734" w:rsidRPr="00BF4734" w:rsidRDefault="00BF4734" w:rsidP="00BF4734">
      <w:pPr>
        <w:jc w:val="both"/>
        <w:rPr>
          <w:rFonts w:ascii="Arial" w:hAnsi="Arial"/>
          <w:color w:val="FFC000"/>
          <w:sz w:val="20"/>
          <w:szCs w:val="20"/>
        </w:rPr>
      </w:pPr>
      <w:hyperlink r:id="rId15" w:history="1">
        <w:r w:rsidRPr="00BF4734">
          <w:rPr>
            <w:rStyle w:val="Hyperlink"/>
            <w:rFonts w:ascii="Arial" w:hAnsi="Arial"/>
            <w:color w:val="FFC000"/>
            <w:sz w:val="20"/>
            <w:szCs w:val="20"/>
          </w:rPr>
          <w:t>Poročilo</w:t>
        </w:r>
      </w:hyperlink>
    </w:p>
    <w:p w14:paraId="01BB1F95" w14:textId="77777777" w:rsidR="00BF4734" w:rsidRPr="00BF4734" w:rsidRDefault="00BF4734" w:rsidP="00BF4734">
      <w:pPr>
        <w:jc w:val="both"/>
        <w:rPr>
          <w:rFonts w:ascii="Arial" w:hAnsi="Arial"/>
          <w:color w:val="002060"/>
          <w:sz w:val="20"/>
          <w:szCs w:val="20"/>
        </w:rPr>
      </w:pPr>
    </w:p>
    <w:p w14:paraId="442A4563" w14:textId="77777777" w:rsidR="00BF4734" w:rsidRPr="00BF4734" w:rsidRDefault="00BF4734" w:rsidP="00BF4734">
      <w:pPr>
        <w:jc w:val="both"/>
        <w:rPr>
          <w:rFonts w:ascii="Arial" w:hAnsi="Arial"/>
          <w:color w:val="002060"/>
          <w:sz w:val="20"/>
          <w:szCs w:val="20"/>
        </w:rPr>
      </w:pPr>
    </w:p>
    <w:p w14:paraId="02B74E6E" w14:textId="77777777" w:rsidR="00BF4734" w:rsidRPr="00BF4734" w:rsidRDefault="00BF4734" w:rsidP="00BF4734">
      <w:pPr>
        <w:jc w:val="both"/>
        <w:rPr>
          <w:rFonts w:ascii="Arial" w:hAnsi="Arial"/>
          <w:b/>
          <w:bCs/>
          <w:color w:val="002060"/>
          <w:sz w:val="20"/>
          <w:szCs w:val="20"/>
        </w:rPr>
      </w:pPr>
      <w:r w:rsidRPr="00BF4734">
        <w:rPr>
          <w:rFonts w:ascii="Arial" w:hAnsi="Arial"/>
          <w:b/>
          <w:bCs/>
          <w:color w:val="002060"/>
          <w:sz w:val="20"/>
          <w:szCs w:val="20"/>
        </w:rPr>
        <w:t>Objavljeni so razpisi za zbiranje predlogov za krepitev evropske kibernetske varnosti</w:t>
      </w:r>
    </w:p>
    <w:p w14:paraId="4D488763" w14:textId="77777777" w:rsidR="00BF4734" w:rsidRPr="00BF4734" w:rsidRDefault="00BF4734" w:rsidP="00BF4734">
      <w:pPr>
        <w:jc w:val="both"/>
        <w:rPr>
          <w:rFonts w:ascii="Arial" w:hAnsi="Arial"/>
          <w:color w:val="002060"/>
          <w:sz w:val="20"/>
          <w:szCs w:val="20"/>
        </w:rPr>
      </w:pPr>
    </w:p>
    <w:p w14:paraId="727EBEFE" w14:textId="77777777" w:rsidR="00BF4734" w:rsidRPr="00BF4734" w:rsidRDefault="00BF4734" w:rsidP="00BF4734">
      <w:pPr>
        <w:jc w:val="both"/>
        <w:rPr>
          <w:rFonts w:ascii="Arial" w:hAnsi="Arial"/>
          <w:color w:val="002060"/>
          <w:sz w:val="20"/>
          <w:szCs w:val="20"/>
        </w:rPr>
      </w:pPr>
      <w:r w:rsidRPr="00BF4734">
        <w:rPr>
          <w:rFonts w:ascii="Arial" w:hAnsi="Arial"/>
          <w:color w:val="002060"/>
          <w:sz w:val="20"/>
          <w:szCs w:val="20"/>
        </w:rPr>
        <w:t>Evropska komisija je objavila razpise za zbiranje predlogov za krepitev evropske kibernetske varnosti. Rok za oddajo prijav je 26. september. Člani lahko dobijo več informacij na SBRA.</w:t>
      </w:r>
    </w:p>
    <w:p w14:paraId="03720D43" w14:textId="77777777" w:rsidR="00BF4734" w:rsidRPr="00BF4734" w:rsidRDefault="00BF4734" w:rsidP="00BF4734">
      <w:pPr>
        <w:jc w:val="both"/>
        <w:rPr>
          <w:rFonts w:ascii="Arial" w:hAnsi="Arial"/>
          <w:color w:val="002060"/>
          <w:sz w:val="20"/>
          <w:szCs w:val="20"/>
        </w:rPr>
      </w:pPr>
    </w:p>
    <w:p w14:paraId="497387E6" w14:textId="77777777" w:rsidR="00BF4734" w:rsidRPr="00BF4734" w:rsidRDefault="00BF4734" w:rsidP="00BF4734">
      <w:pPr>
        <w:jc w:val="both"/>
        <w:rPr>
          <w:rFonts w:ascii="Arial" w:hAnsi="Arial"/>
          <w:color w:val="002060"/>
          <w:sz w:val="20"/>
          <w:szCs w:val="20"/>
        </w:rPr>
      </w:pPr>
      <w:r w:rsidRPr="00BF4734">
        <w:rPr>
          <w:rFonts w:ascii="Arial" w:hAnsi="Arial"/>
          <w:color w:val="002060"/>
          <w:sz w:val="20"/>
          <w:szCs w:val="20"/>
        </w:rPr>
        <w:t>Več:</w:t>
      </w:r>
    </w:p>
    <w:p w14:paraId="7031641C" w14:textId="77777777" w:rsidR="00BF4734" w:rsidRPr="00BF4734" w:rsidRDefault="00BF4734" w:rsidP="00BF4734">
      <w:pPr>
        <w:jc w:val="both"/>
        <w:rPr>
          <w:rFonts w:ascii="Arial" w:hAnsi="Arial"/>
          <w:color w:val="FFC000"/>
          <w:sz w:val="20"/>
          <w:szCs w:val="20"/>
        </w:rPr>
      </w:pPr>
      <w:hyperlink r:id="rId16" w:history="1">
        <w:r w:rsidRPr="00BF4734">
          <w:rPr>
            <w:rStyle w:val="Hyperlink"/>
            <w:rFonts w:ascii="Arial" w:hAnsi="Arial"/>
            <w:color w:val="FFC000"/>
            <w:sz w:val="20"/>
            <w:szCs w:val="20"/>
          </w:rPr>
          <w:t>Razpisi</w:t>
        </w:r>
      </w:hyperlink>
    </w:p>
    <w:p w14:paraId="16E17BF5" w14:textId="77777777" w:rsidR="00BF4734" w:rsidRPr="0042676A" w:rsidRDefault="00BF4734" w:rsidP="0042676A">
      <w:pPr>
        <w:jc w:val="both"/>
        <w:rPr>
          <w:rFonts w:ascii="Arial" w:hAnsi="Arial"/>
          <w:color w:val="002060"/>
          <w:sz w:val="20"/>
          <w:szCs w:val="20"/>
        </w:rPr>
      </w:pPr>
    </w:p>
    <w:p w14:paraId="166DE93F" w14:textId="77777777" w:rsidR="0042676A" w:rsidRDefault="0042676A" w:rsidP="00C22439">
      <w:pPr>
        <w:jc w:val="both"/>
        <w:rPr>
          <w:rFonts w:ascii="Arial" w:hAnsi="Arial"/>
          <w:color w:val="FFC000"/>
          <w:sz w:val="20"/>
          <w:szCs w:val="20"/>
        </w:rPr>
      </w:pPr>
    </w:p>
    <w:p w14:paraId="61DE9D50" w14:textId="77777777" w:rsidR="0042676A" w:rsidRDefault="0042676A" w:rsidP="00C22439">
      <w:pPr>
        <w:jc w:val="both"/>
        <w:rPr>
          <w:rFonts w:ascii="Arial" w:hAnsi="Arial"/>
          <w:color w:val="FFC000"/>
          <w:sz w:val="20"/>
          <w:szCs w:val="20"/>
        </w:rPr>
      </w:pPr>
    </w:p>
    <w:p w14:paraId="78802904" w14:textId="77777777" w:rsidR="0042676A" w:rsidRPr="00C22439" w:rsidRDefault="0042676A" w:rsidP="00C22439">
      <w:pPr>
        <w:jc w:val="both"/>
        <w:rPr>
          <w:rFonts w:ascii="Arial" w:hAnsi="Arial"/>
          <w:color w:val="FFC000"/>
          <w:sz w:val="20"/>
          <w:szCs w:val="20"/>
        </w:rPr>
      </w:pPr>
    </w:p>
    <w:sectPr w:rsidR="0042676A" w:rsidRPr="00C22439" w:rsidSect="00BF67F0">
      <w:headerReference w:type="default" r:id="rId17"/>
      <w:headerReference w:type="first" r:id="rId18"/>
      <w:pgSz w:w="11906" w:h="16838"/>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D471A" w14:textId="77777777" w:rsidR="008D1540" w:rsidRDefault="008D1540" w:rsidP="00632E85">
      <w:r>
        <w:separator/>
      </w:r>
    </w:p>
  </w:endnote>
  <w:endnote w:type="continuationSeparator" w:id="0">
    <w:p w14:paraId="77582149" w14:textId="77777777" w:rsidR="008D1540" w:rsidRDefault="008D1540" w:rsidP="0063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Nirmala UI"/>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0E05E" w14:textId="77777777" w:rsidR="008D1540" w:rsidRDefault="008D1540" w:rsidP="00632E85">
      <w:r>
        <w:separator/>
      </w:r>
    </w:p>
  </w:footnote>
  <w:footnote w:type="continuationSeparator" w:id="0">
    <w:p w14:paraId="29A8CF16" w14:textId="77777777" w:rsidR="008D1540" w:rsidRDefault="008D1540" w:rsidP="00632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3926" w14:textId="42567863" w:rsidR="00632E85" w:rsidRDefault="00632E85" w:rsidP="00632E8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3849" w14:textId="26951273" w:rsidR="002B37A9" w:rsidRDefault="004A3B8A">
    <w:pPr>
      <w:pStyle w:val="Header"/>
    </w:pPr>
    <w:r>
      <w:rPr>
        <w:noProof/>
      </w:rPr>
      <w:drawing>
        <wp:inline distT="0" distB="0" distL="0" distR="0" wp14:anchorId="0F25FF22" wp14:editId="5B249C82">
          <wp:extent cx="5715000" cy="2657475"/>
          <wp:effectExtent l="0" t="0" r="0" b="9525"/>
          <wp:docPr id="1202807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2657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B5"/>
    <w:rsid w:val="00014828"/>
    <w:rsid w:val="00024B54"/>
    <w:rsid w:val="00053995"/>
    <w:rsid w:val="001D7461"/>
    <w:rsid w:val="001E0C23"/>
    <w:rsid w:val="00206823"/>
    <w:rsid w:val="002D75A9"/>
    <w:rsid w:val="0040197B"/>
    <w:rsid w:val="0042676A"/>
    <w:rsid w:val="004A3B8A"/>
    <w:rsid w:val="005025E0"/>
    <w:rsid w:val="005C21B5"/>
    <w:rsid w:val="00632E85"/>
    <w:rsid w:val="006F641A"/>
    <w:rsid w:val="008D1540"/>
    <w:rsid w:val="00995304"/>
    <w:rsid w:val="00AB0D0B"/>
    <w:rsid w:val="00B31729"/>
    <w:rsid w:val="00BF4734"/>
    <w:rsid w:val="00BF67F0"/>
    <w:rsid w:val="00C22439"/>
    <w:rsid w:val="00D41F4F"/>
    <w:rsid w:val="00EA28C0"/>
    <w:rsid w:val="00F7377C"/>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E822E"/>
  <w15:chartTrackingRefBased/>
  <w15:docId w15:val="{64AA3038-0140-4900-8D56-2790CC90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1B5"/>
    <w:pPr>
      <w:spacing w:after="0" w:line="240" w:lineRule="auto"/>
    </w:pPr>
    <w:rPr>
      <w:rFonts w:ascii="Times New Roman" w:eastAsia="NSimSun" w:hAnsi="Times New Roman" w:cs="Arial"/>
      <w:kern w:val="2"/>
      <w:sz w:val="24"/>
      <w:szCs w:val="24"/>
      <w:lang w:val="sl-SI"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1B5"/>
    <w:rPr>
      <w:color w:val="0563C1" w:themeColor="hyperlink"/>
      <w:u w:val="single"/>
    </w:rPr>
  </w:style>
  <w:style w:type="paragraph" w:styleId="Header">
    <w:name w:val="header"/>
    <w:basedOn w:val="Normal"/>
    <w:link w:val="HeaderChar"/>
    <w:uiPriority w:val="99"/>
    <w:unhideWhenUsed/>
    <w:rsid w:val="005C21B5"/>
    <w:pPr>
      <w:tabs>
        <w:tab w:val="center" w:pos="4513"/>
        <w:tab w:val="right" w:pos="9026"/>
      </w:tabs>
    </w:pPr>
    <w:rPr>
      <w:rFonts w:cs="Mangal"/>
      <w:szCs w:val="21"/>
    </w:rPr>
  </w:style>
  <w:style w:type="character" w:customStyle="1" w:styleId="HeaderChar">
    <w:name w:val="Header Char"/>
    <w:basedOn w:val="DefaultParagraphFont"/>
    <w:link w:val="Header"/>
    <w:uiPriority w:val="99"/>
    <w:rsid w:val="005C21B5"/>
    <w:rPr>
      <w:rFonts w:ascii="Times New Roman" w:eastAsia="NSimSun" w:hAnsi="Times New Roman" w:cs="Mangal"/>
      <w:kern w:val="2"/>
      <w:sz w:val="24"/>
      <w:szCs w:val="21"/>
      <w:lang w:val="sl-SI" w:eastAsia="zh-CN" w:bidi="hi-IN"/>
    </w:rPr>
  </w:style>
  <w:style w:type="character" w:styleId="Strong">
    <w:name w:val="Strong"/>
    <w:basedOn w:val="DefaultParagraphFont"/>
    <w:uiPriority w:val="22"/>
    <w:qFormat/>
    <w:rsid w:val="005C21B5"/>
    <w:rPr>
      <w:b/>
      <w:bCs/>
    </w:rPr>
  </w:style>
  <w:style w:type="paragraph" w:styleId="Footer">
    <w:name w:val="footer"/>
    <w:basedOn w:val="Normal"/>
    <w:link w:val="FooterChar"/>
    <w:uiPriority w:val="99"/>
    <w:unhideWhenUsed/>
    <w:rsid w:val="00632E85"/>
    <w:pPr>
      <w:tabs>
        <w:tab w:val="center" w:pos="4513"/>
        <w:tab w:val="right" w:pos="9026"/>
      </w:tabs>
    </w:pPr>
    <w:rPr>
      <w:rFonts w:cs="Mangal"/>
      <w:szCs w:val="21"/>
    </w:rPr>
  </w:style>
  <w:style w:type="character" w:customStyle="1" w:styleId="FooterChar">
    <w:name w:val="Footer Char"/>
    <w:basedOn w:val="DefaultParagraphFont"/>
    <w:link w:val="Footer"/>
    <w:uiPriority w:val="99"/>
    <w:rsid w:val="00632E85"/>
    <w:rPr>
      <w:rFonts w:ascii="Times New Roman" w:eastAsia="NSimSun" w:hAnsi="Times New Roman" w:cs="Mangal"/>
      <w:kern w:val="2"/>
      <w:sz w:val="24"/>
      <w:szCs w:val="21"/>
      <w:lang w:val="sl-SI" w:eastAsia="zh-CN" w:bidi="hi-IN"/>
    </w:rPr>
  </w:style>
  <w:style w:type="character" w:styleId="FollowedHyperlink">
    <w:name w:val="FollowedHyperlink"/>
    <w:basedOn w:val="DefaultParagraphFont"/>
    <w:uiPriority w:val="99"/>
    <w:semiHidden/>
    <w:unhideWhenUsed/>
    <w:rsid w:val="00024B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5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nea.ec.europa.eu/news-events/news/eu99-million-available-funding-your-project-ideas-clean-energy-transition-2023-05-11_en" TargetMode="External"/><Relationship Id="rId13" Type="http://schemas.openxmlformats.org/officeDocument/2006/relationships/hyperlink" Target="https://www.eca.europa.eu/sl/publications/SR-2023-12" TargetMode="External"/><Relationship Id="rId1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competition-policy.ec.europa.eu/public-consultations/2023-aviation-guidelines_sl" TargetMode="External"/><Relationship Id="rId12" Type="http://schemas.openxmlformats.org/officeDocument/2006/relationships/hyperlink" Target="https://curia.europa.eu/juris/fiche.jsf;jsessionid=F73836EF88AEB688BAB09159E4F8FA0F?id=C%3B97%3B22%3BRP%3B1%3BP%3B1%3BC2022%2F0097%2FJ&amp;nat=or&amp;mat=or&amp;pcs=Oor&amp;jur=C%2CT%2CF&amp;num=C-97%252F22&amp;for=&amp;jge=&amp;dates=&amp;language=sl&amp;pro=&amp;cit=none%252CC%252CCJ%252CR%252C200"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ec.europa.eu/info/funding-tenders/opportunities/portal/screen/opportunities/topic-search;callCode=null;freeTextSearchKeyword=DIGITAL-ECCC-2023-DEPLOY-CYBER-04%20;matchWholeText=true;typeCodes=1,0;statusCodes=31094502;programmePeriod=2021%20-%20202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efence-industry-space.ec.europa.eu/survey-access-equity-financing-european-defence-smes-and-midcaps-launched-2023-05-03_en" TargetMode="External"/><Relationship Id="rId11" Type="http://schemas.openxmlformats.org/officeDocument/2006/relationships/hyperlink" Target="https://ec.europa.eu/eusurvey/runner/eInvoicingFeedbackCollection" TargetMode="External"/><Relationship Id="rId5" Type="http://schemas.openxmlformats.org/officeDocument/2006/relationships/endnotes" Target="endnotes.xml"/><Relationship Id="rId15" Type="http://schemas.openxmlformats.org/officeDocument/2006/relationships/hyperlink" Target="https://op.europa.eu/en/publication-detail/-/publication/9a345396-f9e9-11ed-a05c-01aa75ed71a1" TargetMode="External"/><Relationship Id="rId10" Type="http://schemas.openxmlformats.org/officeDocument/2006/relationships/hyperlink" Target="https://reform-support.ec.europa.eu/events-0/2023-technical-support-instrument-annual-conference_s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ommission.europa.eu/funding-tenders/find-funding/eu-funding-programmes/technical-support-instrument/technical-support-instrument-tsi/technical-support-instrument-2023-call_sl" TargetMode="External"/><Relationship Id="rId14" Type="http://schemas.openxmlformats.org/officeDocument/2006/relationships/hyperlink" Target="https://ec.europa.eu/commission/presscorner/detail/sl/ip_23_27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786</Words>
  <Characters>4483</Characters>
  <Application>Microsoft Office Word</Application>
  <DocSecurity>0</DocSecurity>
  <Lines>37</Lines>
  <Paragraphs>10</Paragraphs>
  <ScaleCrop>false</ScaleCrop>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Bostjan Sinkovec</dc:creator>
  <cp:keywords/>
  <dc:description/>
  <cp:lastModifiedBy>Bostjan Sinkovec</cp:lastModifiedBy>
  <cp:revision>13</cp:revision>
  <dcterms:created xsi:type="dcterms:W3CDTF">2023-05-10T12:36:00Z</dcterms:created>
  <dcterms:modified xsi:type="dcterms:W3CDTF">2023-05-26T07:16:00Z</dcterms:modified>
</cp:coreProperties>
</file>