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9909" w14:textId="77777777" w:rsidR="00024B54" w:rsidRPr="00D41F4F" w:rsidRDefault="00024B54" w:rsidP="00024B54">
      <w:pPr>
        <w:jc w:val="both"/>
        <w:rPr>
          <w:rFonts w:ascii="Arial" w:hAnsi="Arial"/>
          <w:b/>
          <w:color w:val="002060"/>
          <w:sz w:val="20"/>
          <w:szCs w:val="20"/>
        </w:rPr>
      </w:pPr>
      <w:r w:rsidRPr="00D41F4F">
        <w:rPr>
          <w:rFonts w:ascii="Arial" w:hAnsi="Arial"/>
          <w:b/>
          <w:color w:val="002060"/>
          <w:sz w:val="20"/>
          <w:szCs w:val="20"/>
        </w:rPr>
        <w:t>Javno posvetovanje o mehanizmu za okrevanje in odpornost</w:t>
      </w:r>
    </w:p>
    <w:p w14:paraId="3B75E76E" w14:textId="77777777" w:rsidR="00024B54" w:rsidRPr="00D41F4F" w:rsidRDefault="00024B54" w:rsidP="00024B54">
      <w:pPr>
        <w:jc w:val="both"/>
        <w:rPr>
          <w:rFonts w:ascii="Arial" w:hAnsi="Arial"/>
          <w:bCs/>
          <w:color w:val="002060"/>
          <w:sz w:val="20"/>
          <w:szCs w:val="20"/>
        </w:rPr>
      </w:pPr>
    </w:p>
    <w:p w14:paraId="353C35C9" w14:textId="77777777" w:rsidR="00024B54" w:rsidRPr="00D41F4F" w:rsidRDefault="00024B54" w:rsidP="00024B54">
      <w:pPr>
        <w:jc w:val="both"/>
        <w:rPr>
          <w:rFonts w:ascii="Arial" w:hAnsi="Arial"/>
          <w:bCs/>
          <w:color w:val="002060"/>
          <w:sz w:val="20"/>
          <w:szCs w:val="20"/>
        </w:rPr>
      </w:pPr>
      <w:r w:rsidRPr="00D41F4F">
        <w:rPr>
          <w:rFonts w:ascii="Arial" w:hAnsi="Arial"/>
          <w:bCs/>
          <w:color w:val="002060"/>
          <w:sz w:val="20"/>
          <w:szCs w:val="20"/>
        </w:rPr>
        <w:t xml:space="preserve">Evropska komisija rek javnega posvetovanja do 8. junija zbira mnenja in predloge o mehanizmu za okrevanje in odpornost. </w:t>
      </w:r>
    </w:p>
    <w:p w14:paraId="61E83D27" w14:textId="77777777" w:rsidR="00024B54" w:rsidRPr="00D41F4F" w:rsidRDefault="00024B54" w:rsidP="00024B54">
      <w:pPr>
        <w:jc w:val="both"/>
        <w:rPr>
          <w:rFonts w:ascii="Arial" w:hAnsi="Arial"/>
          <w:bCs/>
          <w:color w:val="002060"/>
          <w:sz w:val="20"/>
          <w:szCs w:val="20"/>
        </w:rPr>
      </w:pPr>
    </w:p>
    <w:p w14:paraId="257EF8E8" w14:textId="77777777" w:rsidR="00024B54" w:rsidRPr="00D41F4F" w:rsidRDefault="00024B54" w:rsidP="00024B54">
      <w:pPr>
        <w:jc w:val="both"/>
        <w:rPr>
          <w:rFonts w:ascii="Arial" w:hAnsi="Arial"/>
          <w:bCs/>
          <w:color w:val="002060"/>
          <w:sz w:val="20"/>
          <w:szCs w:val="20"/>
        </w:rPr>
      </w:pPr>
      <w:r w:rsidRPr="00D41F4F">
        <w:rPr>
          <w:rFonts w:ascii="Arial" w:hAnsi="Arial"/>
          <w:bCs/>
          <w:color w:val="002060"/>
          <w:sz w:val="20"/>
          <w:szCs w:val="20"/>
        </w:rPr>
        <w:t>Več:</w:t>
      </w:r>
    </w:p>
    <w:p w14:paraId="131F99CD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6" w:history="1">
        <w:r w:rsidR="00024B54" w:rsidRPr="00EA28C0">
          <w:rPr>
            <w:rStyle w:val="Hyperlink"/>
            <w:rFonts w:ascii="Arial" w:hAnsi="Arial"/>
            <w:bCs/>
            <w:color w:val="FFC000"/>
            <w:sz w:val="20"/>
            <w:szCs w:val="20"/>
          </w:rPr>
          <w:t>Posvetovanje</w:t>
        </w:r>
      </w:hyperlink>
    </w:p>
    <w:p w14:paraId="7D1D2FE0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3B890D26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0F05024C" w14:textId="77777777" w:rsidR="00024B54" w:rsidRPr="00D41F4F" w:rsidRDefault="00024B54" w:rsidP="00024B54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>Sprejete so smernice za izboljšanje pregledov vozil</w:t>
      </w:r>
    </w:p>
    <w:p w14:paraId="4E35DF3F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03C2523A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Evropska komisija je objavila priporočilo za izboljšanje rednih tehničnih pregledov vozil. Smernice veljajo za redne tehnične preglede vozil z motorji na kompresijski vžig in predstavljajo prvi korak k usklajenemu merjenju števila delcev (</w:t>
      </w:r>
      <w:proofErr w:type="spellStart"/>
      <w:r w:rsidRPr="00D41F4F">
        <w:rPr>
          <w:rFonts w:ascii="Arial" w:hAnsi="Arial"/>
          <w:color w:val="002060"/>
          <w:sz w:val="20"/>
          <w:szCs w:val="20"/>
        </w:rPr>
        <w:t>particle</w:t>
      </w:r>
      <w:proofErr w:type="spellEnd"/>
      <w:r w:rsidRPr="00D41F4F">
        <w:rPr>
          <w:rFonts w:ascii="Arial" w:hAnsi="Arial"/>
          <w:color w:val="002060"/>
          <w:sz w:val="20"/>
          <w:szCs w:val="20"/>
        </w:rPr>
        <w:t xml:space="preserve"> </w:t>
      </w:r>
      <w:proofErr w:type="spellStart"/>
      <w:r w:rsidRPr="00D41F4F">
        <w:rPr>
          <w:rFonts w:ascii="Arial" w:hAnsi="Arial"/>
          <w:color w:val="002060"/>
          <w:sz w:val="20"/>
          <w:szCs w:val="20"/>
        </w:rPr>
        <w:t>number</w:t>
      </w:r>
      <w:proofErr w:type="spellEnd"/>
      <w:r w:rsidRPr="00D41F4F">
        <w:rPr>
          <w:rFonts w:ascii="Arial" w:hAnsi="Arial"/>
          <w:color w:val="002060"/>
          <w:sz w:val="20"/>
          <w:szCs w:val="20"/>
        </w:rPr>
        <w:t xml:space="preserve"> - PN) med tehničnimi pregledi.</w:t>
      </w:r>
    </w:p>
    <w:p w14:paraId="50D9227B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350CB75B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43E2DC66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7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Sporočilo s povezavo na smernice</w:t>
        </w:r>
      </w:hyperlink>
    </w:p>
    <w:p w14:paraId="50315133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241D0AC4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54935D11" w14:textId="77777777" w:rsidR="00024B54" w:rsidRPr="00D41F4F" w:rsidRDefault="00024B54" w:rsidP="00024B54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 xml:space="preserve">Objavljen je koledar razpisov inovacijske skupnosti EIT Proizvodnja (EIT </w:t>
      </w:r>
      <w:proofErr w:type="spellStart"/>
      <w:r w:rsidRPr="00D41F4F">
        <w:rPr>
          <w:rFonts w:ascii="Arial" w:hAnsi="Arial"/>
          <w:b/>
          <w:bCs/>
          <w:color w:val="002060"/>
          <w:sz w:val="20"/>
          <w:szCs w:val="20"/>
        </w:rPr>
        <w:t>Manufacturing</w:t>
      </w:r>
      <w:proofErr w:type="spellEnd"/>
      <w:r w:rsidRPr="00D41F4F">
        <w:rPr>
          <w:rFonts w:ascii="Arial" w:hAnsi="Arial"/>
          <w:b/>
          <w:bCs/>
          <w:color w:val="002060"/>
          <w:sz w:val="20"/>
          <w:szCs w:val="20"/>
        </w:rPr>
        <w:t>)</w:t>
      </w:r>
    </w:p>
    <w:p w14:paraId="346641BF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51F51DCB" w14:textId="39161F66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 xml:space="preserve">Evropski inštitut za inovacije in tehnologijo (EIT) je objavil koledar za objave razpisov inovacijske skupnosti EIT Proizvodnja (EIT </w:t>
      </w:r>
      <w:proofErr w:type="spellStart"/>
      <w:r w:rsidRPr="00D41F4F">
        <w:rPr>
          <w:rFonts w:ascii="Arial" w:hAnsi="Arial"/>
          <w:color w:val="002060"/>
          <w:sz w:val="20"/>
          <w:szCs w:val="20"/>
        </w:rPr>
        <w:t>Manufacturing</w:t>
      </w:r>
      <w:proofErr w:type="spellEnd"/>
      <w:r w:rsidRPr="00D41F4F">
        <w:rPr>
          <w:rFonts w:ascii="Arial" w:hAnsi="Arial"/>
          <w:color w:val="002060"/>
          <w:sz w:val="20"/>
          <w:szCs w:val="20"/>
        </w:rPr>
        <w:t>) v letih 2023 in 2024.</w:t>
      </w:r>
    </w:p>
    <w:p w14:paraId="4384D3AE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59B9995E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403D9F36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8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Sporočilo EIT s povezavo na koledar</w:t>
        </w:r>
      </w:hyperlink>
      <w:r w:rsidR="00024B54" w:rsidRPr="00EA28C0">
        <w:rPr>
          <w:rFonts w:ascii="Arial" w:hAnsi="Arial"/>
          <w:color w:val="FFC000"/>
          <w:sz w:val="20"/>
          <w:szCs w:val="20"/>
        </w:rPr>
        <w:t xml:space="preserve"> </w:t>
      </w:r>
    </w:p>
    <w:p w14:paraId="3FF245B9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09127134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6DA95090" w14:textId="77777777" w:rsidR="00024B54" w:rsidRPr="00D41F4F" w:rsidRDefault="00024B54" w:rsidP="00024B54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>inovacije za male projekte</w:t>
      </w:r>
    </w:p>
    <w:p w14:paraId="1384A7AA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6320E844" w14:textId="3DC46B6D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 xml:space="preserve">Do 19. septembra je odprt tretji razpis evropskega Sklada za inovacije za male projekte. Prijaviti je mogoče projekte na področjih obnovljivih virov energije, </w:t>
      </w:r>
      <w:proofErr w:type="spellStart"/>
      <w:r w:rsidRPr="00D41F4F">
        <w:rPr>
          <w:rFonts w:ascii="Arial" w:hAnsi="Arial"/>
          <w:color w:val="002060"/>
          <w:sz w:val="20"/>
          <w:szCs w:val="20"/>
        </w:rPr>
        <w:t>dekarbonizacije</w:t>
      </w:r>
      <w:proofErr w:type="spellEnd"/>
      <w:r w:rsidRPr="00D41F4F">
        <w:rPr>
          <w:rFonts w:ascii="Arial" w:hAnsi="Arial"/>
          <w:color w:val="002060"/>
          <w:sz w:val="20"/>
          <w:szCs w:val="20"/>
        </w:rPr>
        <w:t xml:space="preserve"> energetsko intenzivnih industrij, shranjevanja energije ter zajemanja, uporabe in shranjevanja ogljika. Te tehnologije bi morale biti dovolj zrele in imeti velik potencial za doseganje znatnega zmanjšanja emisij toplogrednih plinov v primerjavi s konvencionalnimi tehnologijami. </w:t>
      </w:r>
    </w:p>
    <w:p w14:paraId="007B6BCC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19E32496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39FF602A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9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Razpis</w:t>
        </w:r>
      </w:hyperlink>
    </w:p>
    <w:p w14:paraId="15191027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in</w:t>
      </w:r>
    </w:p>
    <w:p w14:paraId="7D8D5EB6" w14:textId="5DAD463C" w:rsidR="00024B54" w:rsidRPr="00EA28C0" w:rsidRDefault="00024B54" w:rsidP="00024B54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fldChar w:fldCharType="begin"/>
      </w:r>
      <w:r w:rsidRPr="00D41F4F">
        <w:rPr>
          <w:rFonts w:ascii="Arial" w:hAnsi="Arial"/>
          <w:color w:val="002060"/>
          <w:sz w:val="20"/>
          <w:szCs w:val="20"/>
        </w:rPr>
        <w:instrText xml:space="preserve"> HYPERLINK "https://climate.ec.europa.eu/eu-action/funding-climate-action/innovation-fund_sl" </w:instrText>
      </w:r>
      <w:r w:rsidRPr="00D41F4F">
        <w:rPr>
          <w:rFonts w:ascii="Arial" w:hAnsi="Arial"/>
          <w:color w:val="002060"/>
          <w:sz w:val="20"/>
          <w:szCs w:val="20"/>
        </w:rPr>
      </w:r>
      <w:r w:rsidRPr="00D41F4F">
        <w:rPr>
          <w:rFonts w:ascii="Arial" w:hAnsi="Arial"/>
          <w:color w:val="002060"/>
          <w:sz w:val="20"/>
          <w:szCs w:val="20"/>
        </w:rPr>
        <w:fldChar w:fldCharType="separate"/>
      </w:r>
      <w:r w:rsidRPr="00EA28C0">
        <w:rPr>
          <w:rStyle w:val="Hyperlink"/>
          <w:rFonts w:ascii="Arial" w:hAnsi="Arial"/>
          <w:color w:val="FFC000"/>
          <w:sz w:val="20"/>
          <w:szCs w:val="20"/>
        </w:rPr>
        <w:t xml:space="preserve">Spletna stran Sklada za inovacije </w:t>
      </w:r>
    </w:p>
    <w:p w14:paraId="07734EF9" w14:textId="33777550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fldChar w:fldCharType="end"/>
      </w:r>
    </w:p>
    <w:p w14:paraId="7DA596B3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7B153CFD" w14:textId="77777777" w:rsidR="00024B54" w:rsidRPr="00D41F4F" w:rsidRDefault="00024B54" w:rsidP="00024B54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>Uporaba digitalnih orodij in postopkov na področju prava družb</w:t>
      </w:r>
    </w:p>
    <w:p w14:paraId="78D1B24A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1FB1AECE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Evropska komisija je sprejela predlog direktive, ki naj bi podjetjem olajšala razširitev uporabe digitalnih orodij in postopkov na področju evropskega prava družb. </w:t>
      </w:r>
    </w:p>
    <w:p w14:paraId="7E8BDA4A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564257B2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4A2B2998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10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Predlog</w:t>
        </w:r>
      </w:hyperlink>
    </w:p>
    <w:p w14:paraId="74E79591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in</w:t>
      </w:r>
    </w:p>
    <w:p w14:paraId="7361C459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11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Priloga</w:t>
        </w:r>
      </w:hyperlink>
    </w:p>
    <w:p w14:paraId="67672577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079AE89F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7BF38F08" w14:textId="77777777" w:rsidR="00024B54" w:rsidRPr="00D41F4F" w:rsidRDefault="00024B54" w:rsidP="00024B54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>Evropska komisija je objavila letno poročilo o mobilnosti delovne sile znotraj EU v letu 2022</w:t>
      </w:r>
    </w:p>
    <w:p w14:paraId="49C324FC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5E6EB3C8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Evropska komisija v letnem poročilu o mobilnosti delovne sile znotraj EU ugotavlja, da je ne glede na pandemijo število delovno sposobnih državljanov EU, ki živijo v drugi državi članici, ostalo nespremenjeno.</w:t>
      </w:r>
    </w:p>
    <w:p w14:paraId="57F3F07F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445E271B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6B0F1105" w14:textId="77777777" w:rsidR="00024B54" w:rsidRPr="00EA28C0" w:rsidRDefault="00000000" w:rsidP="00024B54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12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Poročilo</w:t>
        </w:r>
      </w:hyperlink>
    </w:p>
    <w:p w14:paraId="7EDE63B1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3C0CE155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552D3EBD" w14:textId="77777777" w:rsidR="00024B54" w:rsidRPr="00D41F4F" w:rsidRDefault="00024B54" w:rsidP="00024B54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 xml:space="preserve">Objavljeni so prvi razpisi evropskih grozdov </w:t>
      </w:r>
      <w:proofErr w:type="spellStart"/>
      <w:r w:rsidRPr="00D41F4F">
        <w:rPr>
          <w:rFonts w:ascii="Arial" w:hAnsi="Arial"/>
          <w:b/>
          <w:bCs/>
          <w:color w:val="002060"/>
          <w:sz w:val="20"/>
          <w:szCs w:val="20"/>
        </w:rPr>
        <w:t>Euroclusters</w:t>
      </w:r>
      <w:proofErr w:type="spellEnd"/>
      <w:r w:rsidRPr="00D41F4F">
        <w:rPr>
          <w:rFonts w:ascii="Arial" w:hAnsi="Arial"/>
          <w:b/>
          <w:bCs/>
          <w:color w:val="002060"/>
          <w:sz w:val="20"/>
          <w:szCs w:val="20"/>
        </w:rPr>
        <w:t xml:space="preserve"> za kaskadno financiranje</w:t>
      </w:r>
    </w:p>
    <w:p w14:paraId="43CCAFBA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1E7E4EF6" w14:textId="32A346E1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lastRenderedPageBreak/>
        <w:t xml:space="preserve">Objavljeni so prvi razpisi evropskih grozdov </w:t>
      </w:r>
      <w:proofErr w:type="spellStart"/>
      <w:r w:rsidRPr="00D41F4F">
        <w:rPr>
          <w:rFonts w:ascii="Arial" w:hAnsi="Arial"/>
          <w:color w:val="002060"/>
          <w:sz w:val="20"/>
          <w:szCs w:val="20"/>
        </w:rPr>
        <w:t>Euroclusters</w:t>
      </w:r>
      <w:proofErr w:type="spellEnd"/>
      <w:r w:rsidRPr="00D41F4F">
        <w:rPr>
          <w:rFonts w:ascii="Arial" w:hAnsi="Arial"/>
          <w:color w:val="002060"/>
          <w:sz w:val="20"/>
          <w:szCs w:val="20"/>
        </w:rPr>
        <w:t xml:space="preserve"> za kaskadno financiranje. Objavilo jih je 11 od 30  evropskih grozdov. </w:t>
      </w:r>
    </w:p>
    <w:p w14:paraId="6EA7E56B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3A192099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13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Razpisi</w:t>
        </w:r>
      </w:hyperlink>
    </w:p>
    <w:p w14:paraId="5280BAFE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41EABEC7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26E459BF" w14:textId="77777777" w:rsidR="00024B54" w:rsidRPr="00D41F4F" w:rsidRDefault="00024B54" w:rsidP="00024B54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>Podjetja bodo morala razkriti informacije, da bodo zaposleni lažje primerjali plače</w:t>
      </w:r>
    </w:p>
    <w:p w14:paraId="2153CE4E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271E389D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Evropski parlament je sprejel novo zakonodajo, ki od podjetij zahteva, da bodo morala razkriti informacije, s pomočjo katerih bodo zaposleni lažje primerjali plače in opozorili na obstoječe plačne vrzeli.</w:t>
      </w:r>
    </w:p>
    <w:p w14:paraId="4D6EB44E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</w:p>
    <w:p w14:paraId="2B07E2F0" w14:textId="77777777" w:rsidR="00024B54" w:rsidRPr="00D41F4F" w:rsidRDefault="00024B54" w:rsidP="00024B54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6899D96B" w14:textId="77777777" w:rsidR="00024B54" w:rsidRPr="00EA28C0" w:rsidRDefault="00000000" w:rsidP="00024B54">
      <w:pPr>
        <w:jc w:val="both"/>
        <w:rPr>
          <w:rFonts w:ascii="Arial" w:hAnsi="Arial"/>
          <w:color w:val="FFC000"/>
          <w:sz w:val="20"/>
          <w:szCs w:val="20"/>
        </w:rPr>
      </w:pPr>
      <w:hyperlink r:id="rId14" w:history="1">
        <w:r w:rsidR="00024B54" w:rsidRPr="00EA28C0">
          <w:rPr>
            <w:rStyle w:val="Hyperlink"/>
            <w:rFonts w:ascii="Arial" w:hAnsi="Arial"/>
            <w:color w:val="FFC000"/>
            <w:sz w:val="20"/>
            <w:szCs w:val="20"/>
          </w:rPr>
          <w:t>Zakonodajna resolucija</w:t>
        </w:r>
      </w:hyperlink>
    </w:p>
    <w:p w14:paraId="1D9637B8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6A4D0C70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1DA6AADB" w14:textId="77777777" w:rsidR="00D41F4F" w:rsidRPr="00D41F4F" w:rsidRDefault="00D41F4F" w:rsidP="00D41F4F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>Vzpostavljena je  platforma skupnosti javnih kupcev</w:t>
      </w:r>
    </w:p>
    <w:p w14:paraId="1DF567EE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</w:p>
    <w:p w14:paraId="6AA0DD2A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Evropska komisija je vzpostavila platformo skupnosti javnih kupcev – inovativno platformo, ki naj bi olajšala sodelovanje in izmenjavo znanja med javnimi kupci po vsej Evropi. Predvidena je kot digitalni prostor, v katerem lahko deležniki na področju javnih naročil, kot so javni organi, industrija, mala in srednje velika podjetja ter akademski krogi, izmenjujejo najboljše prakse in izkušnje ter razpravljajo o izzivih.</w:t>
      </w:r>
    </w:p>
    <w:p w14:paraId="38518DF1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</w:p>
    <w:p w14:paraId="2BBF2FCB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60993F08" w14:textId="77777777" w:rsidR="00D41F4F" w:rsidRPr="00EA28C0" w:rsidRDefault="00000000" w:rsidP="00D41F4F">
      <w:pPr>
        <w:jc w:val="both"/>
        <w:rPr>
          <w:rFonts w:ascii="Arial" w:hAnsi="Arial"/>
          <w:color w:val="FFC000"/>
          <w:sz w:val="20"/>
          <w:szCs w:val="20"/>
        </w:rPr>
      </w:pPr>
      <w:hyperlink r:id="rId15" w:history="1">
        <w:r w:rsidR="00D41F4F" w:rsidRPr="00EA28C0">
          <w:rPr>
            <w:rStyle w:val="Hyperlink"/>
            <w:rFonts w:ascii="Arial" w:hAnsi="Arial"/>
            <w:color w:val="FFC000"/>
            <w:sz w:val="20"/>
            <w:szCs w:val="20"/>
          </w:rPr>
          <w:t>Platforma </w:t>
        </w:r>
      </w:hyperlink>
    </w:p>
    <w:p w14:paraId="2AFFE80A" w14:textId="77777777" w:rsidR="00024B54" w:rsidRPr="00D41F4F" w:rsidRDefault="00024B54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264F3302" w14:textId="77777777" w:rsidR="00D41F4F" w:rsidRPr="00D41F4F" w:rsidRDefault="00D41F4F" w:rsidP="00C22439">
      <w:pPr>
        <w:jc w:val="both"/>
        <w:rPr>
          <w:rFonts w:ascii="Arial" w:hAnsi="Arial"/>
          <w:color w:val="002060"/>
          <w:sz w:val="20"/>
          <w:szCs w:val="20"/>
        </w:rPr>
      </w:pPr>
    </w:p>
    <w:p w14:paraId="630C084F" w14:textId="77777777" w:rsidR="00D41F4F" w:rsidRPr="00D41F4F" w:rsidRDefault="00D41F4F" w:rsidP="00D41F4F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D41F4F">
        <w:rPr>
          <w:rFonts w:ascii="Arial" w:hAnsi="Arial"/>
          <w:b/>
          <w:bCs/>
          <w:color w:val="002060"/>
          <w:sz w:val="20"/>
          <w:szCs w:val="20"/>
        </w:rPr>
        <w:t>Posvetovanje o državni pomoči za manjše pomoči za storitve splošnega gospodarskega pomena</w:t>
      </w:r>
    </w:p>
    <w:p w14:paraId="5FA7B203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</w:p>
    <w:p w14:paraId="3F650BD6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Evropska komisija zbira predloge in mnenja o reviziji pravil o državni pomoči za manjše zneske pomoči za storitve splošnega gospodarskega pomena. Posvetovanje je odprto do 1. junija.</w:t>
      </w:r>
    </w:p>
    <w:p w14:paraId="2283D60E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</w:p>
    <w:p w14:paraId="36B78B3D" w14:textId="77777777" w:rsidR="00D41F4F" w:rsidRPr="00D41F4F" w:rsidRDefault="00D41F4F" w:rsidP="00D41F4F">
      <w:pPr>
        <w:jc w:val="both"/>
        <w:rPr>
          <w:rFonts w:ascii="Arial" w:hAnsi="Arial"/>
          <w:color w:val="002060"/>
          <w:sz w:val="20"/>
          <w:szCs w:val="20"/>
        </w:rPr>
      </w:pPr>
      <w:r w:rsidRPr="00D41F4F">
        <w:rPr>
          <w:rFonts w:ascii="Arial" w:hAnsi="Arial"/>
          <w:color w:val="002060"/>
          <w:sz w:val="20"/>
          <w:szCs w:val="20"/>
        </w:rPr>
        <w:t>Več:</w:t>
      </w:r>
    </w:p>
    <w:p w14:paraId="3A6566D2" w14:textId="77777777" w:rsidR="00D41F4F" w:rsidRPr="00EA28C0" w:rsidRDefault="00000000" w:rsidP="00D41F4F">
      <w:pPr>
        <w:jc w:val="both"/>
        <w:rPr>
          <w:rFonts w:ascii="Arial" w:hAnsi="Arial"/>
          <w:color w:val="FFC000"/>
          <w:sz w:val="20"/>
          <w:szCs w:val="20"/>
        </w:rPr>
      </w:pPr>
      <w:hyperlink r:id="rId16" w:history="1">
        <w:proofErr w:type="spellStart"/>
        <w:r w:rsidR="00D41F4F" w:rsidRPr="00EA28C0">
          <w:rPr>
            <w:rStyle w:val="Hyperlink"/>
            <w:rFonts w:ascii="Arial" w:hAnsi="Arial"/>
            <w:color w:val="FFC000"/>
            <w:sz w:val="20"/>
            <w:szCs w:val="20"/>
          </w:rPr>
          <w:t>Posvetovsnje</w:t>
        </w:r>
        <w:proofErr w:type="spellEnd"/>
      </w:hyperlink>
    </w:p>
    <w:p w14:paraId="7B32B30E" w14:textId="77777777" w:rsidR="00D41F4F" w:rsidRPr="00C22439" w:rsidRDefault="00D41F4F" w:rsidP="00C22439">
      <w:pPr>
        <w:jc w:val="both"/>
        <w:rPr>
          <w:rFonts w:ascii="Arial" w:hAnsi="Arial"/>
          <w:color w:val="FFC000"/>
          <w:sz w:val="20"/>
          <w:szCs w:val="20"/>
        </w:rPr>
      </w:pPr>
    </w:p>
    <w:sectPr w:rsidR="00D41F4F" w:rsidRPr="00C22439" w:rsidSect="00BF67F0"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0CAD" w14:textId="77777777" w:rsidR="002D75A9" w:rsidRDefault="002D75A9" w:rsidP="00632E85">
      <w:r>
        <w:separator/>
      </w:r>
    </w:p>
  </w:endnote>
  <w:endnote w:type="continuationSeparator" w:id="0">
    <w:p w14:paraId="438B2C50" w14:textId="77777777" w:rsidR="002D75A9" w:rsidRDefault="002D75A9" w:rsidP="0063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BB11" w14:textId="77777777" w:rsidR="002D75A9" w:rsidRDefault="002D75A9" w:rsidP="00632E85">
      <w:r>
        <w:separator/>
      </w:r>
    </w:p>
  </w:footnote>
  <w:footnote w:type="continuationSeparator" w:id="0">
    <w:p w14:paraId="0651C442" w14:textId="77777777" w:rsidR="002D75A9" w:rsidRDefault="002D75A9" w:rsidP="0063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3926" w14:textId="42567863" w:rsidR="00632E85" w:rsidRDefault="00632E85" w:rsidP="00632E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3849" w14:textId="282456B7" w:rsidR="002B37A9" w:rsidRDefault="00053995">
    <w:pPr>
      <w:pStyle w:val="Header"/>
    </w:pPr>
    <w:r>
      <w:rPr>
        <w:noProof/>
      </w:rPr>
      <w:drawing>
        <wp:inline distT="0" distB="0" distL="0" distR="0" wp14:anchorId="5D32D3E8" wp14:editId="581B3DF2">
          <wp:extent cx="5731510" cy="2705100"/>
          <wp:effectExtent l="0" t="0" r="2540" b="0"/>
          <wp:docPr id="1027483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70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5"/>
    <w:rsid w:val="00014828"/>
    <w:rsid w:val="00024B54"/>
    <w:rsid w:val="00053995"/>
    <w:rsid w:val="001D7461"/>
    <w:rsid w:val="00206823"/>
    <w:rsid w:val="002D75A9"/>
    <w:rsid w:val="0040197B"/>
    <w:rsid w:val="005C21B5"/>
    <w:rsid w:val="00632E85"/>
    <w:rsid w:val="006F641A"/>
    <w:rsid w:val="00995304"/>
    <w:rsid w:val="00AB0D0B"/>
    <w:rsid w:val="00BF67F0"/>
    <w:rsid w:val="00C22439"/>
    <w:rsid w:val="00D41F4F"/>
    <w:rsid w:val="00EA28C0"/>
    <w:rsid w:val="00F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6E822E"/>
  <w15:chartTrackingRefBased/>
  <w15:docId w15:val="{64AA3038-0140-4900-8D56-2790CC90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B5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1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1B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C21B5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character" w:styleId="Strong">
    <w:name w:val="Strong"/>
    <w:basedOn w:val="DefaultParagraphFont"/>
    <w:uiPriority w:val="22"/>
    <w:qFormat/>
    <w:rsid w:val="005C21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32E8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32E85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24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.europa.eu/news-events/news/eit-manufacturing-calls-year-2023" TargetMode="External"/><Relationship Id="rId13" Type="http://schemas.openxmlformats.org/officeDocument/2006/relationships/hyperlink" Target="https://eismea.ec.europa.eu/news/euroclusters-are-launching-their-first-cascade-funding-calls-2023-03-29_en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ransport.ec.europa.eu/news/reducing-transport-emissions-commission-adopts-guidelines-improve-vehicle-inspections-2023-03-20_sl" TargetMode="External"/><Relationship Id="rId12" Type="http://schemas.openxmlformats.org/officeDocument/2006/relationships/hyperlink" Target="https://ec.europa.eu/social/main.jsp?langId=en&amp;catId=89&amp;furtherNews=yes&amp;newsId=1054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competition-policy.ec.europa.eu/public-consultations/2023-sgei_s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.europa.eu/eusurvey/runner/RRF-mid-term-evaluation-survey?language=sl" TargetMode="External"/><Relationship Id="rId11" Type="http://schemas.openxmlformats.org/officeDocument/2006/relationships/hyperlink" Target="https://commission.europa.eu/document/e4158313-592e-4f66-9bf9-868562b6ef3a_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ublic-buyers-community.ec.europa.eu/" TargetMode="External"/><Relationship Id="rId10" Type="http://schemas.openxmlformats.org/officeDocument/2006/relationships/hyperlink" Target="https://commission.europa.eu/document/95b702df-2add-452f-922d-b61812c50dde_s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.europa.eu/info/funding-tenders/opportunities/portal/screen/opportunities/topic-search;callCode=InnovFund-2022-SSC;freeTextSearchKeyword=;matchWholeText=true;typeCodes=0,1,2,8;statusCodes=31094501,31094502,31094503;programmePeriod=null;programCcm" TargetMode="External"/><Relationship Id="rId14" Type="http://schemas.openxmlformats.org/officeDocument/2006/relationships/hyperlink" Target="https://www.europarl.europa.eu/doceo/document/TA-9-2023-0091_SL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8</cp:revision>
  <dcterms:created xsi:type="dcterms:W3CDTF">2023-05-10T12:36:00Z</dcterms:created>
  <dcterms:modified xsi:type="dcterms:W3CDTF">2023-05-10T12:56:00Z</dcterms:modified>
</cp:coreProperties>
</file>