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56E26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Evropska komisija je odobrila 1,5 milijona evrov vredno slovensko shemo za podporo podjetjem</w:t>
      </w:r>
    </w:p>
    <w:p w14:paraId="31DF8E4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86332C1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je odobrila 1,5 milijona evrov vredno slovensko shemo za podporo malim in srednje velikim podjetjem v kontekstu ruske vojne proti Ukrajini.</w:t>
      </w:r>
    </w:p>
    <w:p w14:paraId="409F0FF2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31339E17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2444B6C4" w14:textId="77777777" w:rsidR="005C21B5" w:rsidRPr="00C22439" w:rsidRDefault="005C21B5" w:rsidP="005C21B5">
      <w:pPr>
        <w:jc w:val="both"/>
        <w:rPr>
          <w:rFonts w:ascii="Arial" w:hAnsi="Arial"/>
          <w:color w:val="FFC000"/>
          <w:sz w:val="20"/>
          <w:szCs w:val="20"/>
        </w:rPr>
      </w:pPr>
      <w:hyperlink r:id="rId6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Sklep o odobritvi</w:t>
        </w:r>
      </w:hyperlink>
      <w:r w:rsidRPr="00C22439">
        <w:rPr>
          <w:rFonts w:ascii="Arial" w:hAnsi="Arial"/>
          <w:color w:val="FFC000"/>
          <w:sz w:val="20"/>
          <w:szCs w:val="20"/>
        </w:rPr>
        <w:t xml:space="preserve"> </w:t>
      </w:r>
    </w:p>
    <w:p w14:paraId="2FC89687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3D438864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2D44BE1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Objavljeno je poročilo o dosežkih in naslednjih korakih mehanizma za okrevanje in odpornost</w:t>
      </w:r>
    </w:p>
    <w:p w14:paraId="056FD1A1" w14:textId="77777777" w:rsidR="005C21B5" w:rsidRPr="00C22439" w:rsidRDefault="005C21B5" w:rsidP="005C21B5">
      <w:pPr>
        <w:rPr>
          <w:color w:val="002060"/>
        </w:rPr>
      </w:pPr>
    </w:p>
    <w:p w14:paraId="2DC9CDA1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je doslej v okviru mehanizma za okrevanje in odpornost izplačala več kot 144 milijard evrov, vključno z nepovratnimi sredstvi (96 milijard evrov) in posojili (48 milijard evrov), piše v poročilu o dosežkih in naslednjih korakih mehanizma za okrevanje in odpornost.</w:t>
      </w:r>
    </w:p>
    <w:p w14:paraId="31E25F8C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54785154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26D4EAB2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7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Poročilo</w:t>
        </w:r>
      </w:hyperlink>
    </w:p>
    <w:p w14:paraId="513C66B6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153D28DD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66556A78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Objavljen je pregled naložbenih dejavnosti in priložnosti v modrem gospodarstvu EU</w:t>
      </w:r>
    </w:p>
    <w:p w14:paraId="75E262AB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08F03B9A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je objavila pregled naložbenih dejavnosti in priložnosti v modrem gospodarstvu EU v katerem predstavlja ključne inovativne tehnologije in vzorec podjetij za naložbe v 10 sektorjih trajnostnega modrega gospodarstva, ki so vključeni v projekt BlueInvest.</w:t>
      </w:r>
    </w:p>
    <w:p w14:paraId="032B31A1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 xml:space="preserve"> </w:t>
      </w:r>
    </w:p>
    <w:p w14:paraId="2B1BA72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5EE98AAB" w14:textId="77777777" w:rsidR="005C21B5" w:rsidRPr="00C22439" w:rsidRDefault="005C21B5" w:rsidP="005C21B5">
      <w:pPr>
        <w:jc w:val="both"/>
        <w:rPr>
          <w:rFonts w:ascii="Arial" w:hAnsi="Arial"/>
          <w:color w:val="FFC000"/>
          <w:sz w:val="20"/>
          <w:szCs w:val="20"/>
        </w:rPr>
      </w:pPr>
      <w:hyperlink r:id="rId8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Sporočilo Evropske komisije s povezavo na poročilo</w:t>
        </w:r>
      </w:hyperlink>
    </w:p>
    <w:p w14:paraId="4079B5BC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183DD18E" w14:textId="77777777" w:rsidR="005C21B5" w:rsidRPr="00C22439" w:rsidRDefault="005C21B5" w:rsidP="005C21B5">
      <w:pPr>
        <w:rPr>
          <w:color w:val="002060"/>
        </w:rPr>
      </w:pPr>
    </w:p>
    <w:p w14:paraId="1CB33D29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Predlog za podaljšanje trgovinskih ugodnosti za Ukrajino za eno leto</w:t>
      </w:r>
    </w:p>
    <w:p w14:paraId="233E0378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1D17E791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je predlagala podaljšanje opustitve uvoznih dajatev, kvot in ukrepov trgovinske zaščite za ukrajinski izvoz v Evropsko unijo (avtonomnih trgovinskih ukrepov) za še eno leto.</w:t>
      </w:r>
    </w:p>
    <w:p w14:paraId="391B5867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91B4022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55783496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9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Predlog uredbe</w:t>
        </w:r>
      </w:hyperlink>
    </w:p>
    <w:p w14:paraId="7F864F55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5E9E5ED9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7CA9851E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Skupina EIB je ob začetku programa InvestEU v Sloveniji pripravila več predstavitev</w:t>
      </w:r>
    </w:p>
    <w:p w14:paraId="0E64CB62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4BDB2F44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Skupina EIB, ki vključuje Evropsko investicijsko banko (EIB) in od nje odvisni Evropski investicijski sklad (EIF), je danes skupaj z Evropsko komisijo opravila vrsto predstavitev ob začetku programa InvestEU v Sloveniji. Poudarek je bil na naložbenih področjih, ki bi v Sloveniji lahko prejela podporo.</w:t>
      </w:r>
    </w:p>
    <w:p w14:paraId="32B1142D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4E5FDF55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4F07A9AD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10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Sporočilo EIB</w:t>
        </w:r>
      </w:hyperlink>
    </w:p>
    <w:p w14:paraId="74053DF7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0827310F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6291B788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Posodobitev strategije EU za zaščito pomorstva pred novimi grožnjami</w:t>
      </w:r>
    </w:p>
    <w:p w14:paraId="0B3AC742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8FAE333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in visoki predstavnik sta sprejela skupno sporočilo o okrepljeni strategiji EU za pomorsko varnost, da bi zagotovili miroljubno uporabo morij in zaščitili področje pomorstva pred novimi grožnjami. Sprejela sta tudi posodobljen akcijski načrt, s katerim se bo izvajala strategija.</w:t>
      </w:r>
    </w:p>
    <w:p w14:paraId="7BEB0C84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034C20DD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1A9569F9" w14:textId="77777777" w:rsidR="005C21B5" w:rsidRPr="00C22439" w:rsidRDefault="005C21B5" w:rsidP="005C21B5">
      <w:pPr>
        <w:jc w:val="both"/>
        <w:rPr>
          <w:rFonts w:ascii="Arial" w:hAnsi="Arial"/>
          <w:color w:val="FFC000"/>
          <w:sz w:val="20"/>
          <w:szCs w:val="20"/>
        </w:rPr>
      </w:pPr>
      <w:hyperlink r:id="rId11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Sporočilo o okrepljeni strategiji EU za pomorsko varnost</w:t>
        </w:r>
      </w:hyperlink>
    </w:p>
    <w:p w14:paraId="710F24F6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in</w:t>
      </w:r>
    </w:p>
    <w:p w14:paraId="6D09E85A" w14:textId="77777777" w:rsidR="005C21B5" w:rsidRPr="00C22439" w:rsidRDefault="005C21B5" w:rsidP="005C21B5">
      <w:pPr>
        <w:jc w:val="both"/>
        <w:rPr>
          <w:rFonts w:ascii="Arial" w:hAnsi="Arial"/>
          <w:color w:val="FFC000"/>
          <w:sz w:val="20"/>
          <w:szCs w:val="20"/>
        </w:rPr>
      </w:pPr>
      <w:hyperlink r:id="rId12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Akcijski načrt</w:t>
        </w:r>
      </w:hyperlink>
    </w:p>
    <w:p w14:paraId="3023AF9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4152207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19C75A62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Objavljeno je prvo sporočilo o evropski vesoljski strategiji za varnost in obrambo</w:t>
      </w:r>
    </w:p>
    <w:p w14:paraId="0FE33467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1A5DFBE2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Objavljeno jer prvo sporočilo o evropski vesoljski strategiji za varnost in obrambo v kateri so opisane protivesoljske zmogljivosti in glavne grožnje v vesolju, ki ogrožajo vesoljske sisteme in njihovo zemeljsko infrastrukturo, in sicer na podlagi skupne opredelitve vesoljskega področja.</w:t>
      </w:r>
    </w:p>
    <w:p w14:paraId="2294C3E0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402B39B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55533844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13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Sporočilo</w:t>
        </w:r>
      </w:hyperlink>
    </w:p>
    <w:p w14:paraId="74A26769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156617C4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08AA6DFB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>Evropska komisija je odobrila slovensko shemo za podporo sektorju pridelave jabolk in hrušk</w:t>
      </w:r>
    </w:p>
    <w:p w14:paraId="0D49FD5E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A89C80D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Evropska komisija je odobrila približno 1,75 milijona evrov vredno slovensko shemo za podporo sektorju pridelave jabolk in hrušk. Shema je bila odobrena v skladu z začasnim kriznim in prehodnim okvirom državne pomoči za podporo ukrepom v sektorjih, ki so ključni za pospešitev zelenega prehoda in zmanjšanje odvisnosti od goriva. </w:t>
      </w:r>
    </w:p>
    <w:p w14:paraId="42CC90C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3CDC393B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678C52B7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FFC000"/>
          <w:sz w:val="20"/>
          <w:szCs w:val="20"/>
        </w:rPr>
      </w:pPr>
      <w:hyperlink r:id="rId14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Sklep je objavljen pod številko SA.106497</w:t>
        </w:r>
      </w:hyperlink>
    </w:p>
    <w:p w14:paraId="0D4E1EDC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09029260" w14:textId="77777777" w:rsidR="005C21B5" w:rsidRPr="00C22439" w:rsidRDefault="005C21B5" w:rsidP="005C21B5">
      <w:pPr>
        <w:jc w:val="both"/>
        <w:rPr>
          <w:rStyle w:val="Hyperlink"/>
          <w:rFonts w:ascii="Arial" w:hAnsi="Arial"/>
          <w:color w:val="002060"/>
          <w:sz w:val="20"/>
          <w:szCs w:val="20"/>
        </w:rPr>
      </w:pPr>
    </w:p>
    <w:p w14:paraId="42B6260C" w14:textId="77777777" w:rsidR="005C21B5" w:rsidRPr="00C22439" w:rsidRDefault="005C21B5" w:rsidP="005C21B5">
      <w:pPr>
        <w:jc w:val="both"/>
        <w:rPr>
          <w:rFonts w:ascii="Arial" w:hAnsi="Arial"/>
          <w:b/>
          <w:color w:val="002060"/>
          <w:sz w:val="20"/>
          <w:szCs w:val="20"/>
        </w:rPr>
      </w:pPr>
      <w:r w:rsidRPr="00C22439">
        <w:rPr>
          <w:rFonts w:ascii="Arial" w:hAnsi="Arial"/>
          <w:b/>
          <w:color w:val="002060"/>
          <w:sz w:val="20"/>
          <w:szCs w:val="20"/>
        </w:rPr>
        <w:t>Javno posvetovanje o mehanizmu za okrevanje in odpornost</w:t>
      </w:r>
    </w:p>
    <w:p w14:paraId="60DE6489" w14:textId="77777777" w:rsidR="005C21B5" w:rsidRPr="00C22439" w:rsidRDefault="005C21B5" w:rsidP="005C21B5">
      <w:pPr>
        <w:jc w:val="both"/>
        <w:rPr>
          <w:rFonts w:ascii="Arial" w:hAnsi="Arial"/>
          <w:bCs/>
          <w:color w:val="002060"/>
          <w:sz w:val="20"/>
          <w:szCs w:val="20"/>
        </w:rPr>
      </w:pPr>
    </w:p>
    <w:p w14:paraId="4EC3D53A" w14:textId="77777777" w:rsidR="005C21B5" w:rsidRPr="00C22439" w:rsidRDefault="005C21B5" w:rsidP="005C21B5">
      <w:pPr>
        <w:jc w:val="both"/>
        <w:rPr>
          <w:rFonts w:ascii="Arial" w:hAnsi="Arial"/>
          <w:bCs/>
          <w:color w:val="002060"/>
          <w:sz w:val="20"/>
          <w:szCs w:val="20"/>
        </w:rPr>
      </w:pPr>
      <w:r w:rsidRPr="00C22439">
        <w:rPr>
          <w:rFonts w:ascii="Arial" w:hAnsi="Arial"/>
          <w:bCs/>
          <w:color w:val="002060"/>
          <w:sz w:val="20"/>
          <w:szCs w:val="20"/>
        </w:rPr>
        <w:t xml:space="preserve">Evropska komisija rek javnega posvetovanja do 8. junija zbira mnenja in predloge o mehanizmu za okrevanje in odpornost. </w:t>
      </w:r>
    </w:p>
    <w:p w14:paraId="49D7FCC5" w14:textId="77777777" w:rsidR="005C21B5" w:rsidRPr="00C22439" w:rsidRDefault="005C21B5" w:rsidP="005C21B5">
      <w:pPr>
        <w:jc w:val="both"/>
        <w:rPr>
          <w:rFonts w:ascii="Arial" w:hAnsi="Arial"/>
          <w:bCs/>
          <w:color w:val="002060"/>
          <w:sz w:val="20"/>
          <w:szCs w:val="20"/>
        </w:rPr>
      </w:pPr>
    </w:p>
    <w:p w14:paraId="7E08DE37" w14:textId="77777777" w:rsidR="005C21B5" w:rsidRPr="00C22439" w:rsidRDefault="005C21B5" w:rsidP="005C21B5">
      <w:pPr>
        <w:jc w:val="both"/>
        <w:rPr>
          <w:rFonts w:ascii="Arial" w:hAnsi="Arial"/>
          <w:bCs/>
          <w:color w:val="002060"/>
          <w:sz w:val="20"/>
          <w:szCs w:val="20"/>
        </w:rPr>
      </w:pPr>
      <w:r w:rsidRPr="00C22439">
        <w:rPr>
          <w:rFonts w:ascii="Arial" w:hAnsi="Arial"/>
          <w:bCs/>
          <w:color w:val="002060"/>
          <w:sz w:val="20"/>
          <w:szCs w:val="20"/>
        </w:rPr>
        <w:t>Več:</w:t>
      </w:r>
    </w:p>
    <w:p w14:paraId="3541DD37" w14:textId="77777777" w:rsidR="005C21B5" w:rsidRPr="00C22439" w:rsidRDefault="005C21B5" w:rsidP="005C21B5">
      <w:pPr>
        <w:jc w:val="both"/>
        <w:rPr>
          <w:rFonts w:ascii="Arial" w:hAnsi="Arial"/>
          <w:color w:val="FFC000"/>
          <w:sz w:val="20"/>
          <w:szCs w:val="20"/>
        </w:rPr>
      </w:pPr>
      <w:hyperlink r:id="rId15" w:history="1">
        <w:r w:rsidRPr="00C22439">
          <w:rPr>
            <w:rStyle w:val="Hyperlink"/>
            <w:rFonts w:ascii="Arial" w:hAnsi="Arial"/>
            <w:bCs/>
            <w:color w:val="FFC000"/>
            <w:sz w:val="20"/>
            <w:szCs w:val="20"/>
          </w:rPr>
          <w:t>Posvetovanje</w:t>
        </w:r>
      </w:hyperlink>
    </w:p>
    <w:p w14:paraId="3AD05CED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6689B0AF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4B4C1971" w14:textId="77777777" w:rsidR="005C21B5" w:rsidRPr="00C22439" w:rsidRDefault="005C21B5" w:rsidP="005C21B5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C22439">
        <w:rPr>
          <w:rFonts w:ascii="Arial" w:hAnsi="Arial"/>
          <w:b/>
          <w:bCs/>
          <w:color w:val="002060"/>
          <w:sz w:val="20"/>
          <w:szCs w:val="20"/>
        </w:rPr>
        <w:t xml:space="preserve">Evropska komisija bo podpirala 151 reformnih projektov </w:t>
      </w:r>
    </w:p>
    <w:p w14:paraId="4178E528" w14:textId="7777777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55FC18F4" w14:textId="52ED2627" w:rsidR="005C21B5" w:rsidRPr="00C22439" w:rsidRDefault="005C21B5" w:rsidP="005C21B5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 xml:space="preserve">Evropska komisija je odobrila nov sveženj </w:t>
      </w:r>
      <w:r w:rsidRPr="00C22439">
        <w:rPr>
          <w:rStyle w:val="Strong"/>
          <w:rFonts w:ascii="Arial" w:hAnsi="Arial"/>
          <w:color w:val="002060"/>
          <w:sz w:val="20"/>
          <w:szCs w:val="20"/>
        </w:rPr>
        <w:t>151 projektov</w:t>
      </w:r>
      <w:r w:rsidRPr="00C22439">
        <w:rPr>
          <w:rFonts w:ascii="Arial" w:hAnsi="Arial"/>
          <w:color w:val="002060"/>
          <w:sz w:val="20"/>
          <w:szCs w:val="20"/>
        </w:rPr>
        <w:t xml:space="preserve"> v okviru instrumenta za tehnično podporo (TSI). Med njimi je 13 slovenskih.</w:t>
      </w:r>
    </w:p>
    <w:p w14:paraId="6EDD9356" w14:textId="79111FF3" w:rsidR="00014828" w:rsidRPr="00C22439" w:rsidRDefault="00014828" w:rsidP="005C21B5">
      <w:pPr>
        <w:jc w:val="both"/>
        <w:rPr>
          <w:rFonts w:ascii="Arial" w:hAnsi="Arial"/>
          <w:color w:val="002060"/>
          <w:sz w:val="20"/>
          <w:szCs w:val="20"/>
        </w:rPr>
      </w:pPr>
    </w:p>
    <w:p w14:paraId="24D85CCB" w14:textId="77777777" w:rsidR="00014828" w:rsidRPr="00C22439" w:rsidRDefault="00014828" w:rsidP="00014828">
      <w:pPr>
        <w:jc w:val="both"/>
        <w:rPr>
          <w:rFonts w:ascii="Arial" w:hAnsi="Arial"/>
          <w:color w:val="002060"/>
          <w:sz w:val="20"/>
          <w:szCs w:val="20"/>
        </w:rPr>
      </w:pPr>
      <w:r w:rsidRPr="00C22439">
        <w:rPr>
          <w:rFonts w:ascii="Arial" w:hAnsi="Arial"/>
          <w:color w:val="002060"/>
          <w:sz w:val="20"/>
          <w:szCs w:val="20"/>
        </w:rPr>
        <w:t>Več:</w:t>
      </w:r>
    </w:p>
    <w:p w14:paraId="56C6069F" w14:textId="6541976B" w:rsidR="0040197B" w:rsidRPr="00C22439" w:rsidRDefault="00014828" w:rsidP="00C22439">
      <w:pPr>
        <w:jc w:val="both"/>
        <w:rPr>
          <w:rFonts w:ascii="Arial" w:hAnsi="Arial"/>
          <w:color w:val="FFC000"/>
          <w:sz w:val="20"/>
          <w:szCs w:val="20"/>
        </w:rPr>
      </w:pPr>
      <w:hyperlink r:id="rId16" w:history="1">
        <w:r w:rsidRPr="00C22439">
          <w:rPr>
            <w:rStyle w:val="Hyperlink"/>
            <w:rFonts w:ascii="Arial" w:hAnsi="Arial"/>
            <w:color w:val="FFC000"/>
            <w:sz w:val="20"/>
            <w:szCs w:val="20"/>
          </w:rPr>
          <w:t>Podatki o TSI v Sloveniji</w:t>
        </w:r>
      </w:hyperlink>
    </w:p>
    <w:sectPr w:rsidR="0040197B" w:rsidRPr="00C22439" w:rsidSect="00BF67F0">
      <w:headerReference w:type="default" r:id="rId17"/>
      <w:headerReference w:type="first" r:id="rId18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0C52" w14:textId="77777777" w:rsidR="00995304" w:rsidRDefault="00995304" w:rsidP="00632E85">
      <w:r>
        <w:separator/>
      </w:r>
    </w:p>
  </w:endnote>
  <w:endnote w:type="continuationSeparator" w:id="0">
    <w:p w14:paraId="4B3CA62D" w14:textId="77777777" w:rsidR="00995304" w:rsidRDefault="00995304" w:rsidP="0063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58AC" w14:textId="77777777" w:rsidR="00995304" w:rsidRDefault="00995304" w:rsidP="00632E85">
      <w:r>
        <w:separator/>
      </w:r>
    </w:p>
  </w:footnote>
  <w:footnote w:type="continuationSeparator" w:id="0">
    <w:p w14:paraId="4AA48D6D" w14:textId="77777777" w:rsidR="00995304" w:rsidRDefault="00995304" w:rsidP="0063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3926" w14:textId="42567863" w:rsidR="00632E85" w:rsidRDefault="00632E85" w:rsidP="00632E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3849" w14:textId="08CC5CF0" w:rsidR="002B37A9" w:rsidRDefault="00C22439">
    <w:pPr>
      <w:pStyle w:val="Header"/>
    </w:pPr>
    <w:r>
      <w:rPr>
        <w:noProof/>
      </w:rPr>
      <w:drawing>
        <wp:inline distT="0" distB="0" distL="0" distR="0" wp14:anchorId="6369E39D" wp14:editId="56DA1E61">
          <wp:extent cx="5731510" cy="2627630"/>
          <wp:effectExtent l="0" t="0" r="254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62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5"/>
    <w:rsid w:val="00014828"/>
    <w:rsid w:val="0040197B"/>
    <w:rsid w:val="005C21B5"/>
    <w:rsid w:val="00632E85"/>
    <w:rsid w:val="00995304"/>
    <w:rsid w:val="00BF67F0"/>
    <w:rsid w:val="00C22439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6E822E"/>
  <w15:chartTrackingRefBased/>
  <w15:docId w15:val="{64AA3038-0140-4900-8D56-2790CC9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B5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1B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C21B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character" w:styleId="Strong">
    <w:name w:val="Strong"/>
    <w:basedOn w:val="DefaultParagraphFont"/>
    <w:uiPriority w:val="22"/>
    <w:qFormat/>
    <w:rsid w:val="005C21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32E8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2E8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s-and-fisheries.ec.europa.eu/news/blueinvest-new-investor-report-features-ocean-investment-opportunities-sustainable-blue-economy-2023-03-09_en" TargetMode="External"/><Relationship Id="rId13" Type="http://schemas.openxmlformats.org/officeDocument/2006/relationships/hyperlink" Target="https://ec.europa.eu/transparency/documents-register/detail?ref=JOIN(2023)9&amp;lang=sl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commission.europa.eu/publications/communication-implementation-recovery-and-resilience-facility_sl" TargetMode="External"/><Relationship Id="rId12" Type="http://schemas.openxmlformats.org/officeDocument/2006/relationships/hyperlink" Target="https://oceans-and-fisheries.ec.europa.eu/publications/joint-communication-update-eu-maritime-security-strategy-and-its-action-plan-enhanced-eu-maritime_sl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reform-support.ec.europa.eu/our-projects/country-factsheets/slovenia_e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c.europa.eu/competition/elojade/isef/index.cfm?fuseaction=dsp_result&amp;policy_area_id=3" TargetMode="External"/><Relationship Id="rId11" Type="http://schemas.openxmlformats.org/officeDocument/2006/relationships/hyperlink" Target="https://oceans-and-fisheries.ec.europa.eu/publications/joint-communication-update-eu-maritime-security-strategy-and-its-action-plan-enhanced-eu-maritime_s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c.europa.eu/eusurvey/runner/RRF-mid-term-evaluation-survey?language=sl" TargetMode="External"/><Relationship Id="rId10" Type="http://schemas.openxmlformats.org/officeDocument/2006/relationships/hyperlink" Target="https://www.eib.org/en/press/all/2023-092-investeu-the-eib-group-and-the-european-commission-launch-investeu-programme-in-slovenia?lang=sl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c.europa.eu/transparency/documents-register/detail?ref=COM(2023)106&amp;lang=sl" TargetMode="External"/><Relationship Id="rId14" Type="http://schemas.openxmlformats.org/officeDocument/2006/relationships/hyperlink" Target="https://ec.europa.eu/competition/elojade/isef/index.cfm?clear=1&amp;policy_area_id=3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6</cp:revision>
  <dcterms:created xsi:type="dcterms:W3CDTF">2023-03-24T10:36:00Z</dcterms:created>
  <dcterms:modified xsi:type="dcterms:W3CDTF">2023-03-24T10:48:00Z</dcterms:modified>
</cp:coreProperties>
</file>