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80CC" w14:textId="65D1A987" w:rsidR="00EF3A44" w:rsidRPr="00BD2669" w:rsidRDefault="00EF3A44" w:rsidP="003F3D14">
      <w:pPr>
        <w:jc w:val="both"/>
        <w:rPr>
          <w:rFonts w:ascii="Arial" w:hAnsi="Arial"/>
          <w:b/>
          <w:bCs/>
          <w:color w:val="2F5496" w:themeColor="accent1" w:themeShade="BF"/>
          <w:sz w:val="20"/>
          <w:szCs w:val="20"/>
        </w:rPr>
      </w:pPr>
      <w:r w:rsidRPr="00BD2669">
        <w:rPr>
          <w:rFonts w:ascii="Arial" w:hAnsi="Arial"/>
          <w:b/>
          <w:bCs/>
          <w:noProof/>
          <w:color w:val="2F5496" w:themeColor="accent1" w:themeShade="BF"/>
          <w:sz w:val="20"/>
          <w:szCs w:val="20"/>
        </w:rPr>
        <w:drawing>
          <wp:inline distT="0" distB="0" distL="0" distR="0" wp14:anchorId="178AEF27" wp14:editId="3A970725">
            <wp:extent cx="2614479"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5938" cy="1048335"/>
                    </a:xfrm>
                    <a:prstGeom prst="rect">
                      <a:avLst/>
                    </a:prstGeom>
                    <a:noFill/>
                    <a:ln>
                      <a:noFill/>
                    </a:ln>
                  </pic:spPr>
                </pic:pic>
              </a:graphicData>
            </a:graphic>
          </wp:inline>
        </w:drawing>
      </w:r>
    </w:p>
    <w:p w14:paraId="4DCA1BBA" w14:textId="692557E3" w:rsidR="003F3D14" w:rsidRPr="00BD2669" w:rsidRDefault="003F3D14" w:rsidP="003F3D14">
      <w:pPr>
        <w:jc w:val="both"/>
        <w:rPr>
          <w:rFonts w:ascii="Arial" w:hAnsi="Arial"/>
          <w:b/>
          <w:bCs/>
          <w:color w:val="2F5496" w:themeColor="accent1" w:themeShade="BF"/>
          <w:sz w:val="20"/>
          <w:szCs w:val="20"/>
        </w:rPr>
      </w:pPr>
      <w:r w:rsidRPr="00BD2669">
        <w:rPr>
          <w:rFonts w:ascii="Arial" w:hAnsi="Arial"/>
          <w:b/>
          <w:bCs/>
          <w:color w:val="2F5496" w:themeColor="accent1" w:themeShade="BF"/>
          <w:sz w:val="20"/>
          <w:szCs w:val="20"/>
        </w:rPr>
        <w:t xml:space="preserve">Odprto je javno posvetovanje glede posodobitve pravil EU o zamudah pri plačilih </w:t>
      </w:r>
    </w:p>
    <w:p w14:paraId="5D969A51" w14:textId="77777777" w:rsidR="003F3D14" w:rsidRPr="00BD2669" w:rsidRDefault="003F3D14" w:rsidP="003F3D14">
      <w:pPr>
        <w:jc w:val="both"/>
        <w:rPr>
          <w:rFonts w:ascii="Arial" w:hAnsi="Arial"/>
          <w:color w:val="2F5496" w:themeColor="accent1" w:themeShade="BF"/>
          <w:sz w:val="20"/>
          <w:szCs w:val="20"/>
        </w:rPr>
      </w:pPr>
    </w:p>
    <w:p w14:paraId="75AAF6E8" w14:textId="77777777" w:rsidR="003F3D14" w:rsidRPr="00BD2669" w:rsidRDefault="003F3D14" w:rsidP="003F3D14">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 Evropska komisija prek javnega posvetovanja do 17. marca zbira predloge in mnenja o posodobitvi pravil EU o zamudah pri plačilih.</w:t>
      </w:r>
    </w:p>
    <w:p w14:paraId="3ACF082F" w14:textId="77777777" w:rsidR="003F3D14" w:rsidRPr="00BD2669" w:rsidRDefault="003F3D14" w:rsidP="003F3D14">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Več:</w:t>
      </w:r>
    </w:p>
    <w:p w14:paraId="3379CE1D" w14:textId="77777777" w:rsidR="003F3D14" w:rsidRPr="00BD2669" w:rsidRDefault="00000000" w:rsidP="003F3D14">
      <w:pPr>
        <w:jc w:val="both"/>
        <w:rPr>
          <w:rFonts w:ascii="Arial" w:hAnsi="Arial"/>
          <w:color w:val="FFC000"/>
          <w:sz w:val="20"/>
          <w:szCs w:val="20"/>
        </w:rPr>
      </w:pPr>
      <w:hyperlink r:id="rId7" w:history="1">
        <w:r w:rsidR="003F3D14" w:rsidRPr="00BD2669">
          <w:rPr>
            <w:rStyle w:val="Hyperlink"/>
            <w:rFonts w:ascii="Arial" w:hAnsi="Arial"/>
            <w:color w:val="FFC000"/>
            <w:sz w:val="20"/>
            <w:szCs w:val="20"/>
          </w:rPr>
          <w:t>Posvetovanje</w:t>
        </w:r>
      </w:hyperlink>
    </w:p>
    <w:p w14:paraId="6613B4AF" w14:textId="7D459F64" w:rsidR="006C6D3A" w:rsidRPr="00BD2669" w:rsidRDefault="006C6D3A">
      <w:pPr>
        <w:rPr>
          <w:color w:val="2F5496" w:themeColor="accent1" w:themeShade="BF"/>
        </w:rPr>
      </w:pPr>
    </w:p>
    <w:p w14:paraId="7300B5F0" w14:textId="218288EF" w:rsidR="003F3D14" w:rsidRPr="00BD2669" w:rsidRDefault="003F3D14">
      <w:pPr>
        <w:rPr>
          <w:color w:val="2F5496" w:themeColor="accent1" w:themeShade="BF"/>
        </w:rPr>
      </w:pPr>
    </w:p>
    <w:p w14:paraId="27CBECD4" w14:textId="46C990A0" w:rsidR="00BD2669" w:rsidRPr="00BD2669" w:rsidRDefault="00BD2669">
      <w:pPr>
        <w:rPr>
          <w:color w:val="2F5496" w:themeColor="accent1" w:themeShade="BF"/>
        </w:rPr>
      </w:pPr>
      <w:r w:rsidRPr="00BD2669">
        <w:rPr>
          <w:noProof/>
          <w:color w:val="2F5496" w:themeColor="accent1" w:themeShade="BF"/>
        </w:rPr>
        <w:drawing>
          <wp:inline distT="0" distB="0" distL="0" distR="0" wp14:anchorId="746187B2" wp14:editId="2BAE4B6D">
            <wp:extent cx="2614479"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037" cy="1049577"/>
                    </a:xfrm>
                    <a:prstGeom prst="rect">
                      <a:avLst/>
                    </a:prstGeom>
                    <a:noFill/>
                    <a:ln>
                      <a:noFill/>
                    </a:ln>
                  </pic:spPr>
                </pic:pic>
              </a:graphicData>
            </a:graphic>
          </wp:inline>
        </w:drawing>
      </w:r>
    </w:p>
    <w:p w14:paraId="0A1898CA" w14:textId="77777777" w:rsidR="00362C1F" w:rsidRPr="00BD2669" w:rsidRDefault="00362C1F" w:rsidP="00362C1F">
      <w:pPr>
        <w:jc w:val="both"/>
        <w:rPr>
          <w:rFonts w:ascii="Arial" w:hAnsi="Arial"/>
          <w:b/>
          <w:bCs/>
          <w:color w:val="2F5496" w:themeColor="accent1" w:themeShade="BF"/>
          <w:sz w:val="20"/>
          <w:szCs w:val="20"/>
        </w:rPr>
      </w:pPr>
      <w:r w:rsidRPr="00BD2669">
        <w:rPr>
          <w:rFonts w:ascii="Arial" w:hAnsi="Arial"/>
          <w:b/>
          <w:bCs/>
          <w:color w:val="2F5496" w:themeColor="accent1" w:themeShade="BF"/>
          <w:sz w:val="20"/>
          <w:szCs w:val="20"/>
        </w:rPr>
        <w:t>Malim in srednjim podjetjem  bo na voljo 60 milijonov evrov za zaščito intelektualne lastnine</w:t>
      </w:r>
    </w:p>
    <w:p w14:paraId="6CAA2C49" w14:textId="77777777" w:rsidR="00362C1F" w:rsidRPr="00BD2669" w:rsidRDefault="00362C1F" w:rsidP="00362C1F">
      <w:pPr>
        <w:jc w:val="both"/>
        <w:rPr>
          <w:rFonts w:ascii="Arial" w:hAnsi="Arial"/>
          <w:color w:val="2F5496" w:themeColor="accent1" w:themeShade="BF"/>
          <w:sz w:val="20"/>
          <w:szCs w:val="20"/>
        </w:rPr>
      </w:pPr>
    </w:p>
    <w:p w14:paraId="5771E17B" w14:textId="445EC405" w:rsidR="00362C1F" w:rsidRPr="00BD2669" w:rsidRDefault="00362C1F" w:rsidP="00362C1F">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Evropska komisija in Urad EU za intelektualno lastnino sta začela izvajati sklad EU za mala in srednja podjetja za leto 2023. Prek tega sklada bodo malim in srednjim podjetjem v EU na voljo boni za intelektualno lastnino, s katerimi bodo lahko pokrila nekatere stroške v zvezi z oceno potreb po zaščiti intelektualne lastnine. Uporabila jih bodo lahko tudi za povračila v zvezi z registracijo patentov, blagovnih znamk in modelov. Letos so vključene tudi rastlinske sorte. </w:t>
      </w:r>
    </w:p>
    <w:p w14:paraId="46E41A5A" w14:textId="77777777" w:rsidR="00362C1F" w:rsidRPr="00BD2669" w:rsidRDefault="00362C1F" w:rsidP="00362C1F">
      <w:pPr>
        <w:jc w:val="both"/>
        <w:rPr>
          <w:rFonts w:ascii="Arial" w:hAnsi="Arial"/>
          <w:color w:val="2F5496" w:themeColor="accent1" w:themeShade="BF"/>
          <w:sz w:val="20"/>
          <w:szCs w:val="20"/>
        </w:rPr>
      </w:pPr>
    </w:p>
    <w:p w14:paraId="37D3D366" w14:textId="77777777" w:rsidR="00362C1F" w:rsidRPr="00BD2669" w:rsidRDefault="00362C1F" w:rsidP="00362C1F">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Več:</w:t>
      </w:r>
    </w:p>
    <w:p w14:paraId="5461CEB0" w14:textId="77777777" w:rsidR="00362C1F" w:rsidRPr="00BD2669" w:rsidRDefault="00000000" w:rsidP="00362C1F">
      <w:pPr>
        <w:jc w:val="both"/>
        <w:rPr>
          <w:rFonts w:ascii="Arial" w:hAnsi="Arial"/>
          <w:color w:val="FFC000"/>
          <w:sz w:val="20"/>
          <w:szCs w:val="20"/>
        </w:rPr>
      </w:pPr>
      <w:hyperlink r:id="rId9" w:history="1">
        <w:r w:rsidR="00362C1F" w:rsidRPr="00BD2669">
          <w:rPr>
            <w:rStyle w:val="Hyperlink"/>
            <w:rFonts w:ascii="Arial" w:hAnsi="Arial"/>
            <w:color w:val="FFC000"/>
            <w:sz w:val="20"/>
            <w:szCs w:val="20"/>
          </w:rPr>
          <w:t>Sklad</w:t>
        </w:r>
      </w:hyperlink>
    </w:p>
    <w:p w14:paraId="1A184499" w14:textId="47431F96" w:rsidR="003F3D14" w:rsidRPr="00BD2669" w:rsidRDefault="003F3D14">
      <w:pPr>
        <w:rPr>
          <w:color w:val="2F5496" w:themeColor="accent1" w:themeShade="BF"/>
        </w:rPr>
      </w:pPr>
    </w:p>
    <w:p w14:paraId="751F9BAD" w14:textId="54181977" w:rsidR="00362C1F" w:rsidRPr="00BD2669" w:rsidRDefault="00362C1F">
      <w:pPr>
        <w:rPr>
          <w:color w:val="2F5496" w:themeColor="accent1" w:themeShade="BF"/>
        </w:rPr>
      </w:pPr>
    </w:p>
    <w:p w14:paraId="3B95D96D" w14:textId="125667EE" w:rsidR="00BD2669" w:rsidRPr="00BD2669" w:rsidRDefault="00BD2669">
      <w:pPr>
        <w:rPr>
          <w:color w:val="2F5496" w:themeColor="accent1" w:themeShade="BF"/>
        </w:rPr>
      </w:pPr>
      <w:r w:rsidRPr="00BD2669">
        <w:rPr>
          <w:noProof/>
          <w:color w:val="2F5496" w:themeColor="accent1" w:themeShade="BF"/>
        </w:rPr>
        <w:drawing>
          <wp:inline distT="0" distB="0" distL="0" distR="0" wp14:anchorId="62E7AD10" wp14:editId="69CD9434">
            <wp:extent cx="2614295" cy="104767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7166" cy="1048827"/>
                    </a:xfrm>
                    <a:prstGeom prst="rect">
                      <a:avLst/>
                    </a:prstGeom>
                    <a:noFill/>
                    <a:ln>
                      <a:noFill/>
                    </a:ln>
                  </pic:spPr>
                </pic:pic>
              </a:graphicData>
            </a:graphic>
          </wp:inline>
        </w:drawing>
      </w:r>
    </w:p>
    <w:p w14:paraId="792BB4C7" w14:textId="77777777" w:rsidR="00362C1F" w:rsidRPr="00BD2669" w:rsidRDefault="00362C1F" w:rsidP="00362C1F">
      <w:pPr>
        <w:jc w:val="both"/>
        <w:rPr>
          <w:rFonts w:ascii="Arial" w:hAnsi="Arial"/>
          <w:b/>
          <w:bCs/>
          <w:color w:val="2F5496" w:themeColor="accent1" w:themeShade="BF"/>
          <w:sz w:val="20"/>
          <w:szCs w:val="20"/>
        </w:rPr>
      </w:pPr>
      <w:r w:rsidRPr="00BD2669">
        <w:rPr>
          <w:rFonts w:ascii="Arial" w:hAnsi="Arial"/>
          <w:b/>
          <w:bCs/>
          <w:color w:val="2F5496" w:themeColor="accent1" w:themeShade="BF"/>
          <w:sz w:val="20"/>
          <w:szCs w:val="20"/>
        </w:rPr>
        <w:t>Javno posvetovanje o tem, katere izdelke bi bilo treba obravnavati prednostno </w:t>
      </w:r>
    </w:p>
    <w:p w14:paraId="1CC32BC8" w14:textId="77777777" w:rsidR="00362C1F" w:rsidRPr="00BD2669" w:rsidRDefault="00362C1F" w:rsidP="00362C1F">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 </w:t>
      </w:r>
    </w:p>
    <w:p w14:paraId="06736A4E" w14:textId="77777777" w:rsidR="00362C1F" w:rsidRPr="00BD2669" w:rsidRDefault="00362C1F" w:rsidP="00362C1F">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Evropska komisija prek javnega posvetovanja do 25. aprila zbira mnenja in predloge o tem, katere izdelke bi bilo treba obravnavati prednostno v okviru predlagane uredbe o okoljsko primerni zasnovi za trajnostne izdelke. </w:t>
      </w:r>
    </w:p>
    <w:p w14:paraId="14C1F33A" w14:textId="77777777" w:rsidR="00362C1F" w:rsidRPr="00BD2669" w:rsidRDefault="00362C1F" w:rsidP="00362C1F">
      <w:pPr>
        <w:jc w:val="both"/>
        <w:rPr>
          <w:rFonts w:ascii="Arial" w:hAnsi="Arial"/>
          <w:color w:val="2F5496" w:themeColor="accent1" w:themeShade="BF"/>
          <w:sz w:val="20"/>
          <w:szCs w:val="20"/>
        </w:rPr>
      </w:pPr>
    </w:p>
    <w:p w14:paraId="6F9CB715" w14:textId="77777777" w:rsidR="00362C1F" w:rsidRPr="00BD2669" w:rsidRDefault="00362C1F" w:rsidP="00362C1F">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Več:</w:t>
      </w:r>
    </w:p>
    <w:p w14:paraId="6A28979D" w14:textId="77777777" w:rsidR="00362C1F" w:rsidRPr="00BD2669" w:rsidRDefault="00000000" w:rsidP="00362C1F">
      <w:pPr>
        <w:jc w:val="both"/>
        <w:rPr>
          <w:rFonts w:ascii="Arial" w:hAnsi="Arial"/>
          <w:color w:val="FFC000"/>
          <w:sz w:val="20"/>
          <w:szCs w:val="20"/>
        </w:rPr>
      </w:pPr>
      <w:hyperlink r:id="rId11" w:history="1">
        <w:r w:rsidR="00362C1F" w:rsidRPr="00BD2669">
          <w:rPr>
            <w:rStyle w:val="Hyperlink"/>
            <w:rFonts w:ascii="Arial" w:hAnsi="Arial"/>
            <w:color w:val="FFC000"/>
            <w:sz w:val="20"/>
            <w:szCs w:val="20"/>
          </w:rPr>
          <w:t>Posvetovanje</w:t>
        </w:r>
      </w:hyperlink>
    </w:p>
    <w:p w14:paraId="2BBB1D46" w14:textId="3684757A" w:rsidR="00362C1F" w:rsidRDefault="00362C1F">
      <w:pPr>
        <w:rPr>
          <w:color w:val="2F5496" w:themeColor="accent1" w:themeShade="BF"/>
        </w:rPr>
      </w:pPr>
    </w:p>
    <w:p w14:paraId="129B9932" w14:textId="77777777" w:rsidR="00471A42" w:rsidRPr="00BD2669" w:rsidRDefault="00471A42">
      <w:pPr>
        <w:rPr>
          <w:color w:val="2F5496" w:themeColor="accent1" w:themeShade="BF"/>
        </w:rPr>
      </w:pPr>
    </w:p>
    <w:p w14:paraId="5A8E348F" w14:textId="62281397" w:rsidR="00362C1F" w:rsidRPr="00BD2669" w:rsidRDefault="00471A42">
      <w:pPr>
        <w:rPr>
          <w:color w:val="2F5496" w:themeColor="accent1" w:themeShade="BF"/>
        </w:rPr>
      </w:pPr>
      <w:r>
        <w:rPr>
          <w:noProof/>
          <w:color w:val="2F5496" w:themeColor="accent1" w:themeShade="BF"/>
        </w:rPr>
        <w:drawing>
          <wp:inline distT="0" distB="0" distL="0" distR="0" wp14:anchorId="76259579" wp14:editId="567E3FDB">
            <wp:extent cx="2614479"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6497" cy="1048559"/>
                    </a:xfrm>
                    <a:prstGeom prst="rect">
                      <a:avLst/>
                    </a:prstGeom>
                    <a:noFill/>
                    <a:ln>
                      <a:noFill/>
                    </a:ln>
                  </pic:spPr>
                </pic:pic>
              </a:graphicData>
            </a:graphic>
          </wp:inline>
        </w:drawing>
      </w:r>
    </w:p>
    <w:p w14:paraId="2FCE9301" w14:textId="77777777" w:rsidR="00362C1F" w:rsidRPr="00BD2669" w:rsidRDefault="00362C1F" w:rsidP="00362C1F">
      <w:pPr>
        <w:jc w:val="both"/>
        <w:rPr>
          <w:rFonts w:ascii="Arial" w:hAnsi="Arial"/>
          <w:b/>
          <w:bCs/>
          <w:color w:val="2F5496" w:themeColor="accent1" w:themeShade="BF"/>
          <w:sz w:val="20"/>
          <w:szCs w:val="20"/>
        </w:rPr>
      </w:pPr>
      <w:r w:rsidRPr="00BD2669">
        <w:rPr>
          <w:rFonts w:ascii="Arial" w:hAnsi="Arial"/>
          <w:b/>
          <w:bCs/>
          <w:color w:val="2F5496" w:themeColor="accent1" w:themeShade="BF"/>
          <w:sz w:val="20"/>
          <w:szCs w:val="20"/>
        </w:rPr>
        <w:t>Evropska komisija bo financirala dva projekta žensk v modrem gospodarstvu</w:t>
      </w:r>
    </w:p>
    <w:p w14:paraId="22EA651B" w14:textId="77777777" w:rsidR="00362C1F" w:rsidRPr="00BD2669" w:rsidRDefault="00362C1F" w:rsidP="00362C1F">
      <w:pPr>
        <w:jc w:val="both"/>
        <w:rPr>
          <w:rFonts w:ascii="Arial" w:hAnsi="Arial"/>
          <w:color w:val="2F5496" w:themeColor="accent1" w:themeShade="BF"/>
          <w:sz w:val="20"/>
          <w:szCs w:val="20"/>
        </w:rPr>
      </w:pPr>
    </w:p>
    <w:p w14:paraId="15358B30" w14:textId="77777777" w:rsidR="00362C1F" w:rsidRPr="00BD2669" w:rsidRDefault="00362C1F" w:rsidP="00362C1F">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Evropska komisija je prek razpisa za zbiranje predlogov projektov žensk v modrem gospodarstvu prejela 20 prijav. Med njimi je izbrala dva projekta, za katera je ocenila, da bosta sektorjem trajnostnega modrega gospodarstva pomagala izvesti strukturne spremembe za lažje vključevanje žensk v širše pomorsko gospodarstvo.</w:t>
      </w:r>
    </w:p>
    <w:p w14:paraId="422963C3" w14:textId="77777777" w:rsidR="00362C1F" w:rsidRPr="00BD2669" w:rsidRDefault="00362C1F" w:rsidP="00362C1F">
      <w:pPr>
        <w:jc w:val="both"/>
        <w:rPr>
          <w:rFonts w:ascii="Arial" w:hAnsi="Arial"/>
          <w:color w:val="2F5496" w:themeColor="accent1" w:themeShade="BF"/>
          <w:sz w:val="20"/>
          <w:szCs w:val="20"/>
        </w:rPr>
      </w:pPr>
    </w:p>
    <w:p w14:paraId="48E519F0" w14:textId="77777777" w:rsidR="00362C1F" w:rsidRPr="00BD2669" w:rsidRDefault="00362C1F" w:rsidP="00362C1F">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Več:</w:t>
      </w:r>
    </w:p>
    <w:p w14:paraId="1820EDD2" w14:textId="7E7E7158" w:rsidR="00362C1F" w:rsidRPr="00BD2669" w:rsidRDefault="00000000" w:rsidP="00362C1F">
      <w:pPr>
        <w:jc w:val="both"/>
        <w:rPr>
          <w:rStyle w:val="Hyperlink"/>
          <w:rFonts w:ascii="Arial" w:hAnsi="Arial"/>
          <w:color w:val="FFC000"/>
          <w:sz w:val="20"/>
          <w:szCs w:val="20"/>
        </w:rPr>
      </w:pPr>
      <w:hyperlink r:id="rId13" w:history="1">
        <w:r w:rsidR="00362C1F" w:rsidRPr="00BD2669">
          <w:rPr>
            <w:rStyle w:val="Hyperlink"/>
            <w:rFonts w:ascii="Arial" w:hAnsi="Arial"/>
            <w:color w:val="FFC000"/>
            <w:sz w:val="20"/>
            <w:szCs w:val="20"/>
          </w:rPr>
          <w:t>Sporočilo Evropske komisije</w:t>
        </w:r>
      </w:hyperlink>
    </w:p>
    <w:p w14:paraId="53CF305C" w14:textId="4E7F08C5" w:rsidR="00362C1F" w:rsidRPr="00BD2669" w:rsidRDefault="00362C1F" w:rsidP="00362C1F">
      <w:pPr>
        <w:jc w:val="both"/>
        <w:rPr>
          <w:rStyle w:val="Hyperlink"/>
          <w:rFonts w:ascii="Arial" w:hAnsi="Arial"/>
          <w:color w:val="2F5496" w:themeColor="accent1" w:themeShade="BF"/>
          <w:sz w:val="20"/>
          <w:szCs w:val="20"/>
        </w:rPr>
      </w:pPr>
    </w:p>
    <w:p w14:paraId="42505EC4" w14:textId="7430E976" w:rsidR="00362C1F" w:rsidRDefault="00362C1F" w:rsidP="00362C1F">
      <w:pPr>
        <w:jc w:val="both"/>
        <w:rPr>
          <w:rFonts w:ascii="Arial" w:hAnsi="Arial"/>
          <w:color w:val="2F5496" w:themeColor="accent1" w:themeShade="BF"/>
          <w:sz w:val="20"/>
          <w:szCs w:val="20"/>
        </w:rPr>
      </w:pPr>
    </w:p>
    <w:p w14:paraId="13794C48" w14:textId="4AB967C4" w:rsidR="00CF4326" w:rsidRPr="00BD2669" w:rsidRDefault="00CF4326" w:rsidP="00362C1F">
      <w:pPr>
        <w:jc w:val="both"/>
        <w:rPr>
          <w:rFonts w:ascii="Arial" w:hAnsi="Arial"/>
          <w:color w:val="2F5496" w:themeColor="accent1" w:themeShade="BF"/>
          <w:sz w:val="20"/>
          <w:szCs w:val="20"/>
        </w:rPr>
      </w:pPr>
      <w:r>
        <w:rPr>
          <w:rFonts w:ascii="Arial" w:hAnsi="Arial"/>
          <w:noProof/>
          <w:color w:val="2F5496" w:themeColor="accent1" w:themeShade="BF"/>
          <w:sz w:val="20"/>
          <w:szCs w:val="20"/>
        </w:rPr>
        <w:lastRenderedPageBreak/>
        <w:drawing>
          <wp:inline distT="0" distB="0" distL="0" distR="0" wp14:anchorId="14C42CE3" wp14:editId="5EF28166">
            <wp:extent cx="2638247" cy="1057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0097" cy="1058017"/>
                    </a:xfrm>
                    <a:prstGeom prst="rect">
                      <a:avLst/>
                    </a:prstGeom>
                    <a:noFill/>
                    <a:ln>
                      <a:noFill/>
                    </a:ln>
                  </pic:spPr>
                </pic:pic>
              </a:graphicData>
            </a:graphic>
          </wp:inline>
        </w:drawing>
      </w:r>
    </w:p>
    <w:p w14:paraId="20505800" w14:textId="77777777" w:rsidR="00362C1F" w:rsidRPr="00BD2669" w:rsidRDefault="00362C1F" w:rsidP="00362C1F">
      <w:pPr>
        <w:jc w:val="both"/>
        <w:rPr>
          <w:rFonts w:ascii="Arial" w:hAnsi="Arial"/>
          <w:b/>
          <w:bCs/>
          <w:color w:val="2F5496" w:themeColor="accent1" w:themeShade="BF"/>
          <w:sz w:val="20"/>
          <w:szCs w:val="20"/>
        </w:rPr>
      </w:pPr>
      <w:r w:rsidRPr="00BD2669">
        <w:rPr>
          <w:rFonts w:ascii="Arial" w:hAnsi="Arial"/>
          <w:b/>
          <w:bCs/>
          <w:color w:val="2F5496" w:themeColor="accent1" w:themeShade="BF"/>
          <w:sz w:val="20"/>
          <w:szCs w:val="20"/>
        </w:rPr>
        <w:t>Vabilo za sodelovanje v raziskavi o sinergijah med podatkovnimi centri in energetskimi sistemi</w:t>
      </w:r>
    </w:p>
    <w:p w14:paraId="454CC6D3" w14:textId="77777777" w:rsidR="00362C1F" w:rsidRPr="00BD2669" w:rsidRDefault="00362C1F" w:rsidP="00362C1F">
      <w:pPr>
        <w:jc w:val="both"/>
        <w:rPr>
          <w:rFonts w:ascii="Arial" w:hAnsi="Arial"/>
          <w:color w:val="2F5496" w:themeColor="accent1" w:themeShade="BF"/>
          <w:sz w:val="20"/>
          <w:szCs w:val="20"/>
        </w:rPr>
      </w:pPr>
    </w:p>
    <w:p w14:paraId="2D7469CA" w14:textId="77777777" w:rsidR="00362C1F" w:rsidRPr="00BD2669" w:rsidRDefault="00362C1F" w:rsidP="00362C1F">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Izvajalci študije o sinergijah med podatkovnimi centri in energetskimi sistemi (DCESS) analizirajo, kako lahko lokalni energetski sistemi uporabljajo odpadno toploto in vodo, ki nastajata pri delovanju podatkovnih centrov. K sodelovanju pri raziskavi vabijo tudi zainteresirano javnost.</w:t>
      </w:r>
    </w:p>
    <w:p w14:paraId="660B3BC1" w14:textId="77777777" w:rsidR="00362C1F" w:rsidRPr="00BD2669" w:rsidRDefault="00362C1F" w:rsidP="00362C1F">
      <w:pPr>
        <w:jc w:val="both"/>
        <w:rPr>
          <w:rFonts w:ascii="Arial" w:hAnsi="Arial"/>
          <w:color w:val="2F5496" w:themeColor="accent1" w:themeShade="BF"/>
          <w:sz w:val="20"/>
          <w:szCs w:val="20"/>
        </w:rPr>
      </w:pPr>
    </w:p>
    <w:p w14:paraId="58003EFE" w14:textId="77777777" w:rsidR="00362C1F" w:rsidRPr="00BD2669" w:rsidRDefault="00362C1F" w:rsidP="00362C1F">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Več:</w:t>
      </w:r>
    </w:p>
    <w:p w14:paraId="1C7D74FC" w14:textId="77777777" w:rsidR="00362C1F" w:rsidRPr="00BD2669" w:rsidRDefault="00000000" w:rsidP="00362C1F">
      <w:pPr>
        <w:jc w:val="both"/>
        <w:rPr>
          <w:rFonts w:ascii="Arial" w:hAnsi="Arial"/>
          <w:color w:val="FFC000"/>
          <w:sz w:val="20"/>
          <w:szCs w:val="20"/>
        </w:rPr>
      </w:pPr>
      <w:hyperlink r:id="rId15" w:history="1">
        <w:r w:rsidR="00362C1F" w:rsidRPr="00BD2669">
          <w:rPr>
            <w:rStyle w:val="Hyperlink"/>
            <w:rFonts w:ascii="Arial" w:hAnsi="Arial"/>
            <w:color w:val="FFC000"/>
            <w:sz w:val="20"/>
            <w:szCs w:val="20"/>
          </w:rPr>
          <w:t>Študija</w:t>
        </w:r>
      </w:hyperlink>
    </w:p>
    <w:p w14:paraId="13FDB1CE" w14:textId="77777777" w:rsidR="00362C1F" w:rsidRPr="00BD2669" w:rsidRDefault="00362C1F" w:rsidP="00362C1F">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in</w:t>
      </w:r>
    </w:p>
    <w:p w14:paraId="15A42ABB" w14:textId="77777777" w:rsidR="0022321F" w:rsidRPr="00BD2669" w:rsidRDefault="00000000" w:rsidP="0022321F">
      <w:pPr>
        <w:jc w:val="both"/>
        <w:rPr>
          <w:rStyle w:val="Hyperlink"/>
          <w:rFonts w:ascii="Arial" w:hAnsi="Arial"/>
          <w:color w:val="FFC000"/>
          <w:sz w:val="20"/>
          <w:szCs w:val="20"/>
        </w:rPr>
      </w:pPr>
      <w:hyperlink r:id="rId16" w:history="1">
        <w:r w:rsidR="00362C1F" w:rsidRPr="00BD2669">
          <w:rPr>
            <w:rStyle w:val="Hyperlink"/>
            <w:rFonts w:ascii="Arial" w:hAnsi="Arial"/>
            <w:color w:val="FFC000"/>
            <w:sz w:val="20"/>
            <w:szCs w:val="20"/>
          </w:rPr>
          <w:t>Raziskava</w:t>
        </w:r>
      </w:hyperlink>
    </w:p>
    <w:p w14:paraId="0E021D44" w14:textId="77777777" w:rsidR="0022321F" w:rsidRPr="00BD2669" w:rsidRDefault="0022321F" w:rsidP="0022321F">
      <w:pPr>
        <w:jc w:val="both"/>
        <w:rPr>
          <w:rStyle w:val="Hyperlink"/>
          <w:rFonts w:ascii="Arial" w:hAnsi="Arial"/>
          <w:color w:val="2F5496" w:themeColor="accent1" w:themeShade="BF"/>
          <w:sz w:val="20"/>
          <w:szCs w:val="20"/>
        </w:rPr>
      </w:pPr>
    </w:p>
    <w:p w14:paraId="09069E21" w14:textId="2CE670F4" w:rsidR="0022321F" w:rsidRDefault="0022321F" w:rsidP="0022321F">
      <w:pPr>
        <w:jc w:val="both"/>
        <w:rPr>
          <w:rStyle w:val="Hyperlink"/>
          <w:rFonts w:ascii="Arial" w:hAnsi="Arial"/>
          <w:color w:val="2F5496" w:themeColor="accent1" w:themeShade="BF"/>
          <w:sz w:val="20"/>
          <w:szCs w:val="20"/>
        </w:rPr>
      </w:pPr>
    </w:p>
    <w:p w14:paraId="1F87FB76" w14:textId="019E2B03" w:rsidR="00CF4326" w:rsidRPr="00BD2669" w:rsidRDefault="00CF4326" w:rsidP="0022321F">
      <w:pPr>
        <w:jc w:val="both"/>
        <w:rPr>
          <w:rStyle w:val="Hyperlink"/>
          <w:rFonts w:ascii="Arial" w:hAnsi="Arial"/>
          <w:color w:val="2F5496" w:themeColor="accent1" w:themeShade="BF"/>
          <w:sz w:val="20"/>
          <w:szCs w:val="20"/>
        </w:rPr>
      </w:pPr>
      <w:r w:rsidRPr="00CF4326">
        <w:rPr>
          <w:rStyle w:val="Hyperlink"/>
          <w:rFonts w:ascii="Arial" w:hAnsi="Arial"/>
          <w:noProof/>
          <w:color w:val="2F5496" w:themeColor="accent1" w:themeShade="BF"/>
          <w:sz w:val="20"/>
          <w:szCs w:val="20"/>
          <w:u w:val="none"/>
        </w:rPr>
        <w:drawing>
          <wp:inline distT="0" distB="0" distL="0" distR="0" wp14:anchorId="38E209C5" wp14:editId="6E4C2AE8">
            <wp:extent cx="2614479"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16949" cy="1048740"/>
                    </a:xfrm>
                    <a:prstGeom prst="rect">
                      <a:avLst/>
                    </a:prstGeom>
                    <a:noFill/>
                    <a:ln>
                      <a:noFill/>
                    </a:ln>
                  </pic:spPr>
                </pic:pic>
              </a:graphicData>
            </a:graphic>
          </wp:inline>
        </w:drawing>
      </w:r>
    </w:p>
    <w:p w14:paraId="5DED1475" w14:textId="77777777" w:rsidR="0022321F" w:rsidRPr="00BD2669" w:rsidRDefault="0022321F" w:rsidP="0022321F">
      <w:pPr>
        <w:jc w:val="both"/>
        <w:rPr>
          <w:rFonts w:ascii="Arial" w:hAnsi="Arial"/>
          <w:b/>
          <w:bCs/>
          <w:color w:val="2F5496" w:themeColor="accent1" w:themeShade="BF"/>
          <w:sz w:val="20"/>
          <w:szCs w:val="20"/>
        </w:rPr>
      </w:pPr>
      <w:r w:rsidRPr="00BD2669">
        <w:rPr>
          <w:rFonts w:ascii="Arial" w:hAnsi="Arial"/>
          <w:b/>
          <w:bCs/>
          <w:color w:val="2F5496" w:themeColor="accent1" w:themeShade="BF"/>
          <w:sz w:val="20"/>
          <w:szCs w:val="20"/>
        </w:rPr>
        <w:t>Evropsko gospodarstvo se bo letos izognilo recesiji, ocenjuje Evropska komisija</w:t>
      </w:r>
    </w:p>
    <w:p w14:paraId="6B36AD60" w14:textId="77777777" w:rsidR="0022321F" w:rsidRPr="00BD2669" w:rsidRDefault="0022321F" w:rsidP="0022321F">
      <w:pPr>
        <w:jc w:val="both"/>
        <w:rPr>
          <w:rFonts w:ascii="Arial" w:hAnsi="Arial"/>
          <w:color w:val="2F5496" w:themeColor="accent1" w:themeShade="BF"/>
          <w:sz w:val="20"/>
          <w:szCs w:val="20"/>
        </w:rPr>
      </w:pPr>
    </w:p>
    <w:p w14:paraId="2BA62779" w14:textId="77777777" w:rsidR="0022321F" w:rsidRPr="00BD2669" w:rsidRDefault="0022321F" w:rsidP="0022321F">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Evropska komisija je objavila zimsko gospodarsko napoved v kateri ocenjuje, da se bo evropsko gospodarstvo letos izognilo recesiji. Napoved za Slovenijo je izboljšala.</w:t>
      </w:r>
    </w:p>
    <w:p w14:paraId="20452081" w14:textId="77777777" w:rsidR="0022321F" w:rsidRPr="00BD2669" w:rsidRDefault="0022321F" w:rsidP="0022321F">
      <w:pPr>
        <w:jc w:val="both"/>
        <w:rPr>
          <w:rFonts w:ascii="Arial" w:hAnsi="Arial"/>
          <w:color w:val="2F5496" w:themeColor="accent1" w:themeShade="BF"/>
          <w:sz w:val="20"/>
          <w:szCs w:val="20"/>
        </w:rPr>
      </w:pPr>
    </w:p>
    <w:p w14:paraId="16FCBCA6" w14:textId="77777777" w:rsidR="0022321F" w:rsidRPr="00BD2669" w:rsidRDefault="0022321F" w:rsidP="0022321F">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Več:</w:t>
      </w:r>
    </w:p>
    <w:p w14:paraId="78DDE03A" w14:textId="77777777" w:rsidR="0022321F" w:rsidRPr="00BD2669" w:rsidRDefault="0022321F" w:rsidP="0022321F">
      <w:pPr>
        <w:jc w:val="both"/>
        <w:rPr>
          <w:rFonts w:ascii="Arial" w:hAnsi="Arial"/>
          <w:color w:val="FFC000"/>
          <w:sz w:val="20"/>
          <w:szCs w:val="20"/>
        </w:rPr>
      </w:pPr>
      <w:hyperlink r:id="rId18" w:history="1">
        <w:r w:rsidRPr="00BD2669">
          <w:rPr>
            <w:rStyle w:val="Hyperlink"/>
            <w:rFonts w:ascii="Arial" w:hAnsi="Arial"/>
            <w:color w:val="FFC000"/>
            <w:sz w:val="20"/>
            <w:szCs w:val="20"/>
          </w:rPr>
          <w:t>Zimska gospodarska napoved</w:t>
        </w:r>
      </w:hyperlink>
    </w:p>
    <w:p w14:paraId="72F00C8D" w14:textId="77777777" w:rsidR="0022321F" w:rsidRPr="00BD2669" w:rsidRDefault="0022321F" w:rsidP="0022321F">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in</w:t>
      </w:r>
    </w:p>
    <w:p w14:paraId="7E1E643F" w14:textId="77777777" w:rsidR="0022321F" w:rsidRPr="00BD2669" w:rsidRDefault="0022321F" w:rsidP="0022321F">
      <w:pPr>
        <w:jc w:val="both"/>
        <w:rPr>
          <w:rFonts w:ascii="Arial" w:hAnsi="Arial"/>
          <w:color w:val="FFC000"/>
          <w:sz w:val="20"/>
          <w:szCs w:val="20"/>
        </w:rPr>
      </w:pPr>
      <w:hyperlink r:id="rId19" w:history="1">
        <w:r w:rsidRPr="00BD2669">
          <w:rPr>
            <w:rStyle w:val="Hyperlink"/>
            <w:rFonts w:ascii="Arial" w:hAnsi="Arial"/>
            <w:color w:val="FFC000"/>
            <w:sz w:val="20"/>
            <w:szCs w:val="20"/>
          </w:rPr>
          <w:t>Napoved za Slovenijo</w:t>
        </w:r>
      </w:hyperlink>
    </w:p>
    <w:p w14:paraId="364A7DAB" w14:textId="77777777" w:rsidR="0022321F" w:rsidRPr="00BD2669" w:rsidRDefault="0022321F" w:rsidP="0022321F">
      <w:pPr>
        <w:jc w:val="both"/>
        <w:rPr>
          <w:rFonts w:ascii="Arial" w:hAnsi="Arial"/>
          <w:color w:val="2F5496" w:themeColor="accent1" w:themeShade="BF"/>
          <w:sz w:val="20"/>
          <w:szCs w:val="20"/>
        </w:rPr>
      </w:pPr>
    </w:p>
    <w:p w14:paraId="0F6E0E79" w14:textId="6834A18E" w:rsidR="0022321F" w:rsidRDefault="0022321F" w:rsidP="0022321F">
      <w:pPr>
        <w:jc w:val="both"/>
        <w:rPr>
          <w:rFonts w:ascii="Arial" w:hAnsi="Arial"/>
          <w:color w:val="2F5496" w:themeColor="accent1" w:themeShade="BF"/>
          <w:sz w:val="20"/>
          <w:szCs w:val="20"/>
        </w:rPr>
      </w:pPr>
    </w:p>
    <w:p w14:paraId="4626C4F0" w14:textId="1BC04E30" w:rsidR="00505299" w:rsidRPr="00BD2669" w:rsidRDefault="00505299" w:rsidP="0022321F">
      <w:pPr>
        <w:jc w:val="both"/>
        <w:rPr>
          <w:rFonts w:ascii="Arial" w:hAnsi="Arial"/>
          <w:color w:val="2F5496" w:themeColor="accent1" w:themeShade="BF"/>
          <w:sz w:val="20"/>
          <w:szCs w:val="20"/>
        </w:rPr>
      </w:pPr>
      <w:r>
        <w:rPr>
          <w:rFonts w:ascii="Arial" w:hAnsi="Arial"/>
          <w:noProof/>
          <w:color w:val="2F5496" w:themeColor="accent1" w:themeShade="BF"/>
          <w:sz w:val="20"/>
          <w:szCs w:val="20"/>
        </w:rPr>
        <w:drawing>
          <wp:inline distT="0" distB="0" distL="0" distR="0" wp14:anchorId="1371976A" wp14:editId="2FDB099A">
            <wp:extent cx="2614295" cy="1047676"/>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8499" cy="1049361"/>
                    </a:xfrm>
                    <a:prstGeom prst="rect">
                      <a:avLst/>
                    </a:prstGeom>
                    <a:noFill/>
                    <a:ln>
                      <a:noFill/>
                    </a:ln>
                  </pic:spPr>
                </pic:pic>
              </a:graphicData>
            </a:graphic>
          </wp:inline>
        </w:drawing>
      </w:r>
    </w:p>
    <w:p w14:paraId="0060596D" w14:textId="77777777" w:rsidR="0022321F" w:rsidRPr="00BD2669" w:rsidRDefault="0022321F" w:rsidP="0022321F">
      <w:pPr>
        <w:jc w:val="both"/>
        <w:rPr>
          <w:rFonts w:ascii="Arial" w:hAnsi="Arial"/>
          <w:b/>
          <w:bCs/>
          <w:color w:val="2F5496" w:themeColor="accent1" w:themeShade="BF"/>
          <w:sz w:val="20"/>
          <w:szCs w:val="20"/>
        </w:rPr>
      </w:pPr>
      <w:r w:rsidRPr="00BD2669">
        <w:rPr>
          <w:rFonts w:ascii="Arial" w:hAnsi="Arial"/>
          <w:b/>
          <w:bCs/>
          <w:color w:val="2F5496" w:themeColor="accent1" w:themeShade="BF"/>
          <w:sz w:val="20"/>
          <w:szCs w:val="20"/>
        </w:rPr>
        <w:t>Objavljen je regulativni pristop za testiranje inovacij na področju veriženja blokov</w:t>
      </w:r>
    </w:p>
    <w:p w14:paraId="0B5356BC" w14:textId="77777777" w:rsidR="0022321F" w:rsidRPr="00BD2669" w:rsidRDefault="0022321F" w:rsidP="0022321F">
      <w:pPr>
        <w:jc w:val="both"/>
        <w:rPr>
          <w:rFonts w:ascii="Arial" w:hAnsi="Arial"/>
          <w:color w:val="2F5496" w:themeColor="accent1" w:themeShade="BF"/>
          <w:sz w:val="20"/>
          <w:szCs w:val="20"/>
        </w:rPr>
      </w:pPr>
    </w:p>
    <w:p w14:paraId="17333440" w14:textId="11369594" w:rsidR="0022321F" w:rsidRPr="00BD2669" w:rsidRDefault="0022321F" w:rsidP="0022321F">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 xml:space="preserve">Evropska komisija je objavila regulativni pristop za testiranje inovacij na področju veriženja blokov (European Regulatory Sandbox for Blockchain) v okviru katerega bo podprla 20 </w:t>
      </w:r>
      <w:r w:rsidRPr="00BD2669">
        <w:rPr>
          <w:rFonts w:ascii="Arial" w:hAnsi="Arial"/>
          <w:color w:val="2F5496" w:themeColor="accent1" w:themeShade="BF"/>
          <w:sz w:val="20"/>
          <w:szCs w:val="20"/>
        </w:rPr>
        <w:t xml:space="preserve">projektov letno. Prvi razpis bo predvidoma objavila 14. aprila. </w:t>
      </w:r>
    </w:p>
    <w:p w14:paraId="22682931" w14:textId="77777777" w:rsidR="0022321F" w:rsidRPr="00BD2669" w:rsidRDefault="0022321F" w:rsidP="0022321F">
      <w:pPr>
        <w:jc w:val="both"/>
        <w:rPr>
          <w:rFonts w:ascii="Arial" w:hAnsi="Arial"/>
          <w:color w:val="2F5496" w:themeColor="accent1" w:themeShade="BF"/>
          <w:sz w:val="20"/>
          <w:szCs w:val="20"/>
        </w:rPr>
      </w:pPr>
    </w:p>
    <w:p w14:paraId="11010CCA" w14:textId="77777777" w:rsidR="0022321F" w:rsidRPr="00BD2669" w:rsidRDefault="0022321F" w:rsidP="0022321F">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Več:</w:t>
      </w:r>
    </w:p>
    <w:p w14:paraId="70546441" w14:textId="77777777" w:rsidR="0022321F" w:rsidRPr="002641A0" w:rsidRDefault="0022321F" w:rsidP="0022321F">
      <w:pPr>
        <w:jc w:val="both"/>
        <w:rPr>
          <w:rFonts w:ascii="Arial" w:hAnsi="Arial"/>
          <w:color w:val="FFC000"/>
          <w:sz w:val="20"/>
          <w:szCs w:val="20"/>
        </w:rPr>
      </w:pPr>
      <w:hyperlink r:id="rId21" w:history="1">
        <w:r w:rsidRPr="002641A0">
          <w:rPr>
            <w:rStyle w:val="Hyperlink"/>
            <w:rFonts w:ascii="Arial" w:hAnsi="Arial"/>
            <w:color w:val="FFC000"/>
            <w:sz w:val="20"/>
            <w:szCs w:val="20"/>
          </w:rPr>
          <w:t>Spletna stran z informacijami o pristopu</w:t>
        </w:r>
      </w:hyperlink>
    </w:p>
    <w:p w14:paraId="70970304" w14:textId="77777777" w:rsidR="0022321F" w:rsidRPr="00BD2669" w:rsidRDefault="0022321F" w:rsidP="0022321F">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in</w:t>
      </w:r>
    </w:p>
    <w:p w14:paraId="6C5B9A2D" w14:textId="77777777" w:rsidR="0022321F" w:rsidRPr="002641A0" w:rsidRDefault="0022321F" w:rsidP="0022321F">
      <w:pPr>
        <w:jc w:val="both"/>
        <w:rPr>
          <w:rFonts w:ascii="Arial" w:hAnsi="Arial"/>
          <w:color w:val="FFC000"/>
          <w:sz w:val="20"/>
          <w:szCs w:val="20"/>
        </w:rPr>
      </w:pPr>
      <w:hyperlink r:id="rId22" w:history="1">
        <w:r w:rsidRPr="002641A0">
          <w:rPr>
            <w:rStyle w:val="Hyperlink"/>
            <w:rFonts w:ascii="Arial" w:hAnsi="Arial"/>
            <w:color w:val="FFC000"/>
            <w:sz w:val="20"/>
            <w:szCs w:val="20"/>
          </w:rPr>
          <w:t>Spletna stran z obrazci in informacijami za pristop</w:t>
        </w:r>
      </w:hyperlink>
    </w:p>
    <w:p w14:paraId="2AC5B8A2" w14:textId="77777777" w:rsidR="00587045" w:rsidRPr="00BD2669" w:rsidRDefault="00587045" w:rsidP="0022321F">
      <w:pPr>
        <w:jc w:val="both"/>
        <w:rPr>
          <w:rFonts w:ascii="Arial" w:hAnsi="Arial"/>
          <w:color w:val="2F5496" w:themeColor="accent1" w:themeShade="BF"/>
          <w:sz w:val="20"/>
          <w:szCs w:val="20"/>
        </w:rPr>
      </w:pPr>
    </w:p>
    <w:p w14:paraId="4FDE36F5" w14:textId="77777777" w:rsidR="00587045" w:rsidRPr="00BD2669" w:rsidRDefault="00587045" w:rsidP="0022321F">
      <w:pPr>
        <w:jc w:val="both"/>
        <w:rPr>
          <w:rFonts w:ascii="Arial" w:hAnsi="Arial"/>
          <w:color w:val="2F5496" w:themeColor="accent1" w:themeShade="BF"/>
          <w:sz w:val="20"/>
          <w:szCs w:val="20"/>
        </w:rPr>
      </w:pPr>
    </w:p>
    <w:p w14:paraId="14CB0290" w14:textId="2543F9D1" w:rsidR="000A24C9" w:rsidRDefault="000A24C9" w:rsidP="00587045">
      <w:pPr>
        <w:jc w:val="both"/>
        <w:rPr>
          <w:rFonts w:ascii="Arial" w:hAnsi="Arial"/>
          <w:b/>
          <w:bCs/>
          <w:color w:val="2F5496" w:themeColor="accent1" w:themeShade="BF"/>
          <w:sz w:val="20"/>
          <w:szCs w:val="20"/>
        </w:rPr>
      </w:pPr>
      <w:r>
        <w:rPr>
          <w:rFonts w:ascii="Arial" w:hAnsi="Arial"/>
          <w:b/>
          <w:bCs/>
          <w:noProof/>
          <w:color w:val="2F5496" w:themeColor="accent1" w:themeShade="BF"/>
          <w:sz w:val="20"/>
          <w:szCs w:val="20"/>
        </w:rPr>
        <w:drawing>
          <wp:inline distT="0" distB="0" distL="0" distR="0" wp14:anchorId="31EBCF87" wp14:editId="638D2F6A">
            <wp:extent cx="2614479" cy="1047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16566" cy="1048586"/>
                    </a:xfrm>
                    <a:prstGeom prst="rect">
                      <a:avLst/>
                    </a:prstGeom>
                    <a:noFill/>
                    <a:ln>
                      <a:noFill/>
                    </a:ln>
                  </pic:spPr>
                </pic:pic>
              </a:graphicData>
            </a:graphic>
          </wp:inline>
        </w:drawing>
      </w:r>
    </w:p>
    <w:p w14:paraId="1AEF26C1" w14:textId="1F1F74A8" w:rsidR="00587045" w:rsidRPr="00BD2669" w:rsidRDefault="00587045" w:rsidP="00587045">
      <w:pPr>
        <w:jc w:val="both"/>
        <w:rPr>
          <w:rFonts w:ascii="Arial" w:hAnsi="Arial"/>
          <w:b/>
          <w:bCs/>
          <w:color w:val="2F5496" w:themeColor="accent1" w:themeShade="BF"/>
          <w:sz w:val="20"/>
          <w:szCs w:val="20"/>
        </w:rPr>
      </w:pPr>
      <w:r w:rsidRPr="00BD2669">
        <w:rPr>
          <w:rFonts w:ascii="Arial" w:hAnsi="Arial"/>
          <w:b/>
          <w:bCs/>
          <w:color w:val="2F5496" w:themeColor="accent1" w:themeShade="BF"/>
          <w:sz w:val="20"/>
          <w:szCs w:val="20"/>
        </w:rPr>
        <w:t xml:space="preserve">Potrjena je slovenska shema za delno nadomestilo energetsko intenzivnim podjetjem </w:t>
      </w:r>
    </w:p>
    <w:p w14:paraId="63AE741B" w14:textId="77777777" w:rsidR="00587045" w:rsidRPr="00BD2669" w:rsidRDefault="00587045" w:rsidP="00587045">
      <w:pPr>
        <w:jc w:val="both"/>
        <w:rPr>
          <w:rFonts w:ascii="Arial" w:hAnsi="Arial"/>
          <w:color w:val="2F5496" w:themeColor="accent1" w:themeShade="BF"/>
          <w:sz w:val="20"/>
          <w:szCs w:val="20"/>
        </w:rPr>
      </w:pPr>
    </w:p>
    <w:p w14:paraId="36A92047" w14:textId="77777777" w:rsidR="00587045" w:rsidRPr="00BD2669" w:rsidRDefault="00587045" w:rsidP="00587045">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Evropska komisija je potrdila slovensko shemo za delno nadomestilo energetsko intenzivnim podjetjem za višje cene električne energije. Nezaupna različica sklepa je na voljo v registru državnih pomoči pod številko zadeve SA.63525.</w:t>
      </w:r>
    </w:p>
    <w:p w14:paraId="11480FEC" w14:textId="77777777" w:rsidR="00587045" w:rsidRPr="00BD2669" w:rsidRDefault="00587045" w:rsidP="00587045">
      <w:pPr>
        <w:jc w:val="both"/>
        <w:rPr>
          <w:rFonts w:ascii="Arial" w:hAnsi="Arial"/>
          <w:color w:val="2F5496" w:themeColor="accent1" w:themeShade="BF"/>
          <w:sz w:val="20"/>
          <w:szCs w:val="20"/>
        </w:rPr>
      </w:pPr>
    </w:p>
    <w:p w14:paraId="14979931" w14:textId="77777777" w:rsidR="00587045" w:rsidRPr="00BD2669" w:rsidRDefault="00587045" w:rsidP="00587045">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Več:</w:t>
      </w:r>
    </w:p>
    <w:p w14:paraId="16DCB915" w14:textId="5873CDDE" w:rsidR="00587045" w:rsidRPr="002641A0" w:rsidRDefault="00587045" w:rsidP="00587045">
      <w:pPr>
        <w:jc w:val="both"/>
        <w:rPr>
          <w:rStyle w:val="Hyperlink"/>
          <w:rFonts w:ascii="Arial" w:hAnsi="Arial"/>
          <w:color w:val="FFC000"/>
          <w:sz w:val="20"/>
          <w:szCs w:val="20"/>
        </w:rPr>
      </w:pPr>
      <w:hyperlink r:id="rId24" w:history="1">
        <w:r w:rsidRPr="002641A0">
          <w:rPr>
            <w:rStyle w:val="Hyperlink"/>
            <w:rFonts w:ascii="Arial" w:hAnsi="Arial"/>
            <w:color w:val="FFC000"/>
            <w:sz w:val="20"/>
            <w:szCs w:val="20"/>
          </w:rPr>
          <w:t>Register</w:t>
        </w:r>
      </w:hyperlink>
    </w:p>
    <w:p w14:paraId="6DADB442" w14:textId="3BE9366C" w:rsidR="00E37545" w:rsidRPr="00BD2669" w:rsidRDefault="00E37545" w:rsidP="00587045">
      <w:pPr>
        <w:jc w:val="both"/>
        <w:rPr>
          <w:rStyle w:val="Hyperlink"/>
          <w:rFonts w:ascii="Arial" w:hAnsi="Arial"/>
          <w:color w:val="2F5496" w:themeColor="accent1" w:themeShade="BF"/>
          <w:sz w:val="20"/>
          <w:szCs w:val="20"/>
        </w:rPr>
      </w:pPr>
    </w:p>
    <w:p w14:paraId="7CD99D2E" w14:textId="7A6AF30F" w:rsidR="00E37545" w:rsidRDefault="00E37545" w:rsidP="00587045">
      <w:pPr>
        <w:jc w:val="both"/>
        <w:rPr>
          <w:rStyle w:val="Hyperlink"/>
          <w:rFonts w:ascii="Arial" w:hAnsi="Arial"/>
          <w:color w:val="2F5496" w:themeColor="accent1" w:themeShade="BF"/>
          <w:sz w:val="20"/>
          <w:szCs w:val="20"/>
        </w:rPr>
      </w:pPr>
    </w:p>
    <w:p w14:paraId="73FB9004" w14:textId="45306C0E" w:rsidR="00BB72E0" w:rsidRPr="00BD2669" w:rsidRDefault="00BB72E0" w:rsidP="00587045">
      <w:pPr>
        <w:jc w:val="both"/>
        <w:rPr>
          <w:rStyle w:val="Hyperlink"/>
          <w:rFonts w:ascii="Arial" w:hAnsi="Arial"/>
          <w:color w:val="2F5496" w:themeColor="accent1" w:themeShade="BF"/>
          <w:sz w:val="20"/>
          <w:szCs w:val="20"/>
        </w:rPr>
      </w:pPr>
      <w:r w:rsidRPr="00BB72E0">
        <w:rPr>
          <w:rStyle w:val="Hyperlink"/>
          <w:rFonts w:ascii="Arial" w:hAnsi="Arial"/>
          <w:noProof/>
          <w:color w:val="2F5496" w:themeColor="accent1" w:themeShade="BF"/>
          <w:sz w:val="20"/>
          <w:szCs w:val="20"/>
          <w:u w:val="none"/>
        </w:rPr>
        <w:drawing>
          <wp:inline distT="0" distB="0" distL="0" distR="0" wp14:anchorId="5C458505" wp14:editId="1C1CCDD4">
            <wp:extent cx="2614479" cy="1047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14847" cy="1047897"/>
                    </a:xfrm>
                    <a:prstGeom prst="rect">
                      <a:avLst/>
                    </a:prstGeom>
                    <a:noFill/>
                    <a:ln>
                      <a:noFill/>
                    </a:ln>
                  </pic:spPr>
                </pic:pic>
              </a:graphicData>
            </a:graphic>
          </wp:inline>
        </w:drawing>
      </w:r>
    </w:p>
    <w:p w14:paraId="3649BBF3" w14:textId="77777777" w:rsidR="00E37545" w:rsidRPr="00BD2669" w:rsidRDefault="00E37545" w:rsidP="00E37545">
      <w:pPr>
        <w:jc w:val="both"/>
        <w:rPr>
          <w:rFonts w:ascii="Arial" w:hAnsi="Arial"/>
          <w:b/>
          <w:bCs/>
          <w:color w:val="2F5496" w:themeColor="accent1" w:themeShade="BF"/>
          <w:sz w:val="20"/>
          <w:szCs w:val="20"/>
        </w:rPr>
      </w:pPr>
      <w:r w:rsidRPr="00BD2669">
        <w:rPr>
          <w:rFonts w:ascii="Arial" w:hAnsi="Arial"/>
          <w:b/>
          <w:bCs/>
          <w:color w:val="2F5496" w:themeColor="accent1" w:themeShade="BF"/>
          <w:sz w:val="20"/>
          <w:szCs w:val="20"/>
        </w:rPr>
        <w:t>V veljavo so stopila nova pravila o trošarini</w:t>
      </w:r>
    </w:p>
    <w:p w14:paraId="45BC2149" w14:textId="77777777" w:rsidR="00E37545" w:rsidRPr="00BD2669" w:rsidRDefault="00E37545" w:rsidP="00E37545">
      <w:pPr>
        <w:jc w:val="both"/>
        <w:rPr>
          <w:rFonts w:ascii="Arial" w:hAnsi="Arial"/>
          <w:color w:val="2F5496" w:themeColor="accent1" w:themeShade="BF"/>
          <w:sz w:val="20"/>
          <w:szCs w:val="20"/>
        </w:rPr>
      </w:pPr>
    </w:p>
    <w:p w14:paraId="5D55B659" w14:textId="77777777" w:rsidR="00E37545" w:rsidRPr="00BD2669" w:rsidRDefault="00E37545" w:rsidP="00E37545">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V veljavo so stopila nova pravila o trošarini v skladu s katerimi bo obdavčitev alkohola, tobaka in energentov popolnoma digitalizirana po vsej EU.</w:t>
      </w:r>
    </w:p>
    <w:p w14:paraId="3C416374" w14:textId="77777777" w:rsidR="00E37545" w:rsidRPr="00BD2669" w:rsidRDefault="00E37545" w:rsidP="00E37545">
      <w:pPr>
        <w:jc w:val="both"/>
        <w:rPr>
          <w:rFonts w:ascii="Arial" w:hAnsi="Arial"/>
          <w:color w:val="2F5496" w:themeColor="accent1" w:themeShade="BF"/>
          <w:sz w:val="20"/>
          <w:szCs w:val="20"/>
        </w:rPr>
      </w:pPr>
    </w:p>
    <w:p w14:paraId="33911AEE" w14:textId="77777777" w:rsidR="00E37545" w:rsidRPr="00BD2669" w:rsidRDefault="00E37545" w:rsidP="00E37545">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Več:</w:t>
      </w:r>
    </w:p>
    <w:p w14:paraId="60C2E25E" w14:textId="77777777" w:rsidR="00E37545" w:rsidRPr="002641A0" w:rsidRDefault="00E37545" w:rsidP="00E37545">
      <w:pPr>
        <w:jc w:val="both"/>
        <w:rPr>
          <w:rFonts w:ascii="Arial" w:hAnsi="Arial"/>
          <w:color w:val="FFC000"/>
          <w:sz w:val="20"/>
          <w:szCs w:val="20"/>
        </w:rPr>
      </w:pPr>
      <w:hyperlink r:id="rId26" w:history="1">
        <w:r w:rsidRPr="002641A0">
          <w:rPr>
            <w:rStyle w:val="Hyperlink"/>
            <w:rFonts w:ascii="Arial" w:hAnsi="Arial"/>
            <w:color w:val="FFC000"/>
            <w:sz w:val="20"/>
            <w:szCs w:val="20"/>
          </w:rPr>
          <w:t>Sporočilo Evropske komisije s povezavo na direktivo</w:t>
        </w:r>
      </w:hyperlink>
    </w:p>
    <w:p w14:paraId="2F731C0C" w14:textId="181103B4" w:rsidR="00E37545" w:rsidRDefault="00E37545" w:rsidP="00E37545">
      <w:pPr>
        <w:jc w:val="both"/>
        <w:rPr>
          <w:rFonts w:ascii="Arial" w:hAnsi="Arial"/>
          <w:color w:val="2F5496" w:themeColor="accent1" w:themeShade="BF"/>
          <w:sz w:val="20"/>
          <w:szCs w:val="20"/>
        </w:rPr>
      </w:pPr>
    </w:p>
    <w:p w14:paraId="5FC7C104" w14:textId="20BF973C" w:rsidR="00BB72E0" w:rsidRDefault="00BB72E0" w:rsidP="00E37545">
      <w:pPr>
        <w:jc w:val="both"/>
        <w:rPr>
          <w:rFonts w:ascii="Arial" w:hAnsi="Arial"/>
          <w:color w:val="2F5496" w:themeColor="accent1" w:themeShade="BF"/>
          <w:sz w:val="20"/>
          <w:szCs w:val="20"/>
        </w:rPr>
      </w:pPr>
    </w:p>
    <w:p w14:paraId="711990EA" w14:textId="6E527BF3" w:rsidR="00BB72E0" w:rsidRPr="00BD2669" w:rsidRDefault="00BB72E0" w:rsidP="00E37545">
      <w:pPr>
        <w:jc w:val="both"/>
        <w:rPr>
          <w:rFonts w:ascii="Arial" w:hAnsi="Arial"/>
          <w:color w:val="2F5496" w:themeColor="accent1" w:themeShade="BF"/>
          <w:sz w:val="20"/>
          <w:szCs w:val="20"/>
        </w:rPr>
      </w:pPr>
      <w:r>
        <w:rPr>
          <w:rFonts w:ascii="Arial" w:hAnsi="Arial"/>
          <w:noProof/>
          <w:color w:val="2F5496" w:themeColor="accent1" w:themeShade="BF"/>
          <w:sz w:val="20"/>
          <w:szCs w:val="20"/>
        </w:rPr>
        <w:drawing>
          <wp:inline distT="0" distB="0" distL="0" distR="0" wp14:anchorId="28D25768" wp14:editId="6F58F78C">
            <wp:extent cx="2600325" cy="1042078"/>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01583" cy="1042582"/>
                    </a:xfrm>
                    <a:prstGeom prst="rect">
                      <a:avLst/>
                    </a:prstGeom>
                    <a:noFill/>
                    <a:ln>
                      <a:noFill/>
                    </a:ln>
                  </pic:spPr>
                </pic:pic>
              </a:graphicData>
            </a:graphic>
          </wp:inline>
        </w:drawing>
      </w:r>
    </w:p>
    <w:p w14:paraId="6E07C169" w14:textId="77777777" w:rsidR="00E37545" w:rsidRPr="00BD2669" w:rsidRDefault="00E37545" w:rsidP="00E37545">
      <w:pPr>
        <w:jc w:val="both"/>
        <w:rPr>
          <w:rFonts w:ascii="Arial" w:hAnsi="Arial"/>
          <w:b/>
          <w:bCs/>
          <w:color w:val="2F5496" w:themeColor="accent1" w:themeShade="BF"/>
          <w:sz w:val="20"/>
          <w:szCs w:val="20"/>
        </w:rPr>
      </w:pPr>
      <w:r w:rsidRPr="00BD2669">
        <w:rPr>
          <w:rFonts w:ascii="Arial" w:hAnsi="Arial"/>
          <w:b/>
          <w:bCs/>
          <w:color w:val="2F5496" w:themeColor="accent1" w:themeShade="BF"/>
          <w:sz w:val="20"/>
          <w:szCs w:val="20"/>
        </w:rPr>
        <w:t xml:space="preserve">EIT je začel zvirati prijave podjetij za podpore prek programov EIT Food </w:t>
      </w:r>
    </w:p>
    <w:p w14:paraId="3A93DD2B" w14:textId="77777777" w:rsidR="00E37545" w:rsidRPr="00BD2669" w:rsidRDefault="00E37545" w:rsidP="00E37545">
      <w:pPr>
        <w:jc w:val="both"/>
        <w:rPr>
          <w:rFonts w:ascii="Arial" w:hAnsi="Arial"/>
          <w:color w:val="2F5496" w:themeColor="accent1" w:themeShade="BF"/>
          <w:sz w:val="20"/>
          <w:szCs w:val="20"/>
        </w:rPr>
      </w:pPr>
    </w:p>
    <w:p w14:paraId="5598968F" w14:textId="77777777" w:rsidR="00E37545" w:rsidRPr="00BD2669" w:rsidRDefault="00E37545" w:rsidP="00E37545">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 xml:space="preserve">Evropski inštitut za inovacije in tehnologijo (EIT) do 26. marca zbira prijave podjetij za podpore prek programov za podjetništvo na področju hrane (EIT Food), ki so namenjeni zagonu, pospeševanju in širjenju vplivnih agroživilskih tehnoloških zagonskih podjetij za reševanje </w:t>
      </w:r>
      <w:r w:rsidRPr="00BD2669">
        <w:rPr>
          <w:rFonts w:ascii="Arial" w:hAnsi="Arial"/>
          <w:color w:val="2F5496" w:themeColor="accent1" w:themeShade="BF"/>
          <w:sz w:val="20"/>
          <w:szCs w:val="20"/>
        </w:rPr>
        <w:t>globalnih izzivov prehranskega sistema ter zagotavljanje novih inovacij in podjetij na področju hrane.</w:t>
      </w:r>
    </w:p>
    <w:p w14:paraId="59D4C0EB" w14:textId="77777777" w:rsidR="00E37545" w:rsidRPr="00BD2669" w:rsidRDefault="00E37545" w:rsidP="00E37545">
      <w:pPr>
        <w:jc w:val="both"/>
        <w:rPr>
          <w:rFonts w:ascii="Arial" w:hAnsi="Arial"/>
          <w:color w:val="2F5496" w:themeColor="accent1" w:themeShade="BF"/>
          <w:sz w:val="20"/>
          <w:szCs w:val="20"/>
        </w:rPr>
      </w:pPr>
    </w:p>
    <w:p w14:paraId="51F9D076" w14:textId="77777777" w:rsidR="00E37545" w:rsidRPr="00BD2669" w:rsidRDefault="00E37545" w:rsidP="00E37545">
      <w:pPr>
        <w:jc w:val="both"/>
        <w:rPr>
          <w:rFonts w:ascii="Arial" w:hAnsi="Arial"/>
          <w:color w:val="2F5496" w:themeColor="accent1" w:themeShade="BF"/>
          <w:sz w:val="20"/>
          <w:szCs w:val="20"/>
        </w:rPr>
      </w:pPr>
      <w:r w:rsidRPr="00BD2669">
        <w:rPr>
          <w:rFonts w:ascii="Arial" w:hAnsi="Arial"/>
          <w:color w:val="2F5496" w:themeColor="accent1" w:themeShade="BF"/>
          <w:sz w:val="20"/>
          <w:szCs w:val="20"/>
        </w:rPr>
        <w:t>Več:</w:t>
      </w:r>
    </w:p>
    <w:p w14:paraId="77BF1794" w14:textId="77777777" w:rsidR="00E37545" w:rsidRPr="002641A0" w:rsidRDefault="00E37545" w:rsidP="00E37545">
      <w:pPr>
        <w:jc w:val="both"/>
        <w:rPr>
          <w:rFonts w:ascii="Arial" w:hAnsi="Arial"/>
          <w:color w:val="FFC000"/>
          <w:sz w:val="20"/>
          <w:szCs w:val="20"/>
        </w:rPr>
      </w:pPr>
      <w:hyperlink r:id="rId28" w:history="1">
        <w:r w:rsidRPr="002641A0">
          <w:rPr>
            <w:rStyle w:val="Hyperlink"/>
            <w:rFonts w:ascii="Arial" w:hAnsi="Arial"/>
            <w:color w:val="FFC000"/>
            <w:sz w:val="20"/>
            <w:szCs w:val="20"/>
          </w:rPr>
          <w:t>Poziv</w:t>
        </w:r>
      </w:hyperlink>
    </w:p>
    <w:p w14:paraId="36F02860" w14:textId="77777777" w:rsidR="00E37545" w:rsidRPr="006634BB" w:rsidRDefault="00E37545" w:rsidP="00587045">
      <w:pPr>
        <w:jc w:val="both"/>
        <w:rPr>
          <w:rFonts w:ascii="Arial" w:hAnsi="Arial"/>
          <w:sz w:val="20"/>
          <w:szCs w:val="20"/>
        </w:rPr>
      </w:pPr>
    </w:p>
    <w:p w14:paraId="799BBB28" w14:textId="7E48F4A4" w:rsidR="00587045" w:rsidRPr="0022321F" w:rsidRDefault="00587045" w:rsidP="0022321F">
      <w:pPr>
        <w:jc w:val="both"/>
        <w:rPr>
          <w:rFonts w:ascii="Arial" w:hAnsi="Arial"/>
          <w:sz w:val="20"/>
          <w:szCs w:val="20"/>
        </w:rPr>
        <w:sectPr w:rsidR="00587045" w:rsidRPr="0022321F" w:rsidSect="002B37A9">
          <w:headerReference w:type="first" r:id="rId29"/>
          <w:pgSz w:w="11906" w:h="16838"/>
          <w:pgMar w:top="1440" w:right="1440" w:bottom="1440" w:left="1440" w:header="708" w:footer="708" w:gutter="0"/>
          <w:cols w:num="2" w:space="708"/>
          <w:titlePg/>
          <w:docGrid w:linePitch="360"/>
        </w:sectPr>
      </w:pPr>
    </w:p>
    <w:p w14:paraId="720DD534" w14:textId="77777777" w:rsidR="00362C1F" w:rsidRDefault="00362C1F"/>
    <w:sectPr w:rsidR="00362C1F" w:rsidSect="00D9516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3ECD" w14:textId="77777777" w:rsidR="00DD5DF2" w:rsidRDefault="00DD5DF2" w:rsidP="002B37A9">
      <w:r>
        <w:separator/>
      </w:r>
    </w:p>
  </w:endnote>
  <w:endnote w:type="continuationSeparator" w:id="0">
    <w:p w14:paraId="6C76E86B" w14:textId="77777777" w:rsidR="00DD5DF2" w:rsidRDefault="00DD5DF2" w:rsidP="002B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82E7" w14:textId="77777777" w:rsidR="00DD5DF2" w:rsidRDefault="00DD5DF2" w:rsidP="002B37A9">
      <w:r>
        <w:separator/>
      </w:r>
    </w:p>
  </w:footnote>
  <w:footnote w:type="continuationSeparator" w:id="0">
    <w:p w14:paraId="436521B0" w14:textId="77777777" w:rsidR="00DD5DF2" w:rsidRDefault="00DD5DF2" w:rsidP="002B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B6AE1" w14:textId="0376A982" w:rsidR="002B37A9" w:rsidRDefault="002B37A9">
    <w:pPr>
      <w:pStyle w:val="Header"/>
    </w:pPr>
    <w:r>
      <w:rPr>
        <w:noProof/>
      </w:rPr>
      <w:drawing>
        <wp:inline distT="0" distB="0" distL="0" distR="0" wp14:anchorId="57835151" wp14:editId="29F05196">
          <wp:extent cx="5715000" cy="2590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2590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FC"/>
    <w:rsid w:val="000A24C9"/>
    <w:rsid w:val="002013FC"/>
    <w:rsid w:val="0022321F"/>
    <w:rsid w:val="002641A0"/>
    <w:rsid w:val="002B37A9"/>
    <w:rsid w:val="00362C1F"/>
    <w:rsid w:val="003F3D14"/>
    <w:rsid w:val="00471A42"/>
    <w:rsid w:val="00505299"/>
    <w:rsid w:val="00587045"/>
    <w:rsid w:val="006C6D3A"/>
    <w:rsid w:val="00A37A42"/>
    <w:rsid w:val="00BB72E0"/>
    <w:rsid w:val="00BD2669"/>
    <w:rsid w:val="00C04C09"/>
    <w:rsid w:val="00CF4326"/>
    <w:rsid w:val="00D95169"/>
    <w:rsid w:val="00DD5DF2"/>
    <w:rsid w:val="00E37545"/>
    <w:rsid w:val="00EF3A4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8DC2"/>
  <w15:chartTrackingRefBased/>
  <w15:docId w15:val="{8C491FD1-E4BD-42C9-B1EC-D10F8773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D14"/>
    <w:pPr>
      <w:spacing w:after="0" w:line="240" w:lineRule="auto"/>
    </w:pPr>
    <w:rPr>
      <w:rFonts w:ascii="Times New Roman" w:eastAsia="NSimSun" w:hAnsi="Times New Roman" w:cs="Arial"/>
      <w:kern w:val="2"/>
      <w:sz w:val="24"/>
      <w:szCs w:val="24"/>
      <w:lang w:val="sl-SI"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D14"/>
    <w:rPr>
      <w:color w:val="0563C1" w:themeColor="hyperlink"/>
      <w:u w:val="single"/>
    </w:rPr>
  </w:style>
  <w:style w:type="paragraph" w:styleId="Header">
    <w:name w:val="header"/>
    <w:basedOn w:val="Normal"/>
    <w:link w:val="HeaderChar"/>
    <w:uiPriority w:val="99"/>
    <w:unhideWhenUsed/>
    <w:rsid w:val="002B37A9"/>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B37A9"/>
    <w:rPr>
      <w:rFonts w:ascii="Times New Roman" w:eastAsia="NSimSun" w:hAnsi="Times New Roman" w:cs="Mangal"/>
      <w:kern w:val="2"/>
      <w:sz w:val="24"/>
      <w:szCs w:val="21"/>
      <w:lang w:val="sl-SI" w:eastAsia="zh-CN" w:bidi="hi-IN"/>
    </w:rPr>
  </w:style>
  <w:style w:type="paragraph" w:styleId="Footer">
    <w:name w:val="footer"/>
    <w:basedOn w:val="Normal"/>
    <w:link w:val="FooterChar"/>
    <w:uiPriority w:val="99"/>
    <w:unhideWhenUsed/>
    <w:rsid w:val="002B37A9"/>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B37A9"/>
    <w:rPr>
      <w:rFonts w:ascii="Times New Roman" w:eastAsia="NSimSun" w:hAnsi="Times New Roman" w:cs="Mangal"/>
      <w:kern w:val="2"/>
      <w:sz w:val="24"/>
      <w:szCs w:val="21"/>
      <w:lang w:val="sl-SI"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inea.ec.europa.eu/news-events/news/eur-25-million-be-awarded-two-emfaf-projects-women-blue-economy-2023-02-06_en" TargetMode="External"/><Relationship Id="rId18" Type="http://schemas.openxmlformats.org/officeDocument/2006/relationships/hyperlink" Target="https://economy-finance.ec.europa.eu/economic-forecast-and-surveys/economic-forecasts/winter-2023-economic-forecast-eu-economy-set-avoid-recession-headwinds-persist_sl" TargetMode="External"/><Relationship Id="rId26" Type="http://schemas.openxmlformats.org/officeDocument/2006/relationships/hyperlink" Target="https://taxation-customs.ec.europa.eu/news/all-excise-duty-transactions-eu-become-fully-electronic-13-february-2023-02-10_sl" TargetMode="External"/><Relationship Id="rId3" Type="http://schemas.openxmlformats.org/officeDocument/2006/relationships/webSettings" Target="webSettings.xml"/><Relationship Id="rId21" Type="http://schemas.openxmlformats.org/officeDocument/2006/relationships/hyperlink" Target="https://ec.europa.eu/digital-building-blocks/wikis/display/EBSI/Sandbox+Project" TargetMode="External"/><Relationship Id="rId7" Type="http://schemas.openxmlformats.org/officeDocument/2006/relationships/hyperlink" Target="https://ec.europa.eu/info/law/better-regulation/have-your-say/initiatives/13665-Late-payments-update-of-EU-rules/public-consultation_sl" TargetMode="Externa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app.umfrageonline.com/s/uz7bbev" TargetMode="External"/><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c.europa.eu/info/law/better-regulation/have-your-say/initiatives/13682-Nove-prednostne-naloge-v-zvezi-z-okoljsko-primerno-zasnovo-za-trajnostne-izdelke_sl" TargetMode="External"/><Relationship Id="rId24" Type="http://schemas.openxmlformats.org/officeDocument/2006/relationships/hyperlink" Target="https://ec.europa.eu/competition/elojade/isef/index.cfm?clear=1&amp;policy_area_id=3" TargetMode="External"/><Relationship Id="rId5" Type="http://schemas.openxmlformats.org/officeDocument/2006/relationships/endnotes" Target="endnotes.xml"/><Relationship Id="rId15" Type="http://schemas.openxmlformats.org/officeDocument/2006/relationships/hyperlink" Target="https://www.borderstep.org/projekte/optimising-synergies-between-data-centres-and-energy-systems/" TargetMode="External"/><Relationship Id="rId23" Type="http://schemas.openxmlformats.org/officeDocument/2006/relationships/image" Target="media/image8.png"/><Relationship Id="rId28" Type="http://schemas.openxmlformats.org/officeDocument/2006/relationships/hyperlink" Target="https://entrepreneurship.eitfood.eu/" TargetMode="External"/><Relationship Id="rId10" Type="http://schemas.openxmlformats.org/officeDocument/2006/relationships/image" Target="media/image3.png"/><Relationship Id="rId19" Type="http://schemas.openxmlformats.org/officeDocument/2006/relationships/hyperlink" Target="https://economy-finance.ec.europa.eu/economic-surveillance-eu-economies/slovenia/economic-forecast-slovenia_en"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uipo.europa.eu/ohimportal/en/web/guest/grants-sme-fund-2023" TargetMode="External"/><Relationship Id="rId14" Type="http://schemas.openxmlformats.org/officeDocument/2006/relationships/image" Target="media/image5.png"/><Relationship Id="rId22" Type="http://schemas.openxmlformats.org/officeDocument/2006/relationships/hyperlink" Target="https://ec.europa.eu/digital-building-blocks/wikis/display/EBSISANDCOLLAB/Key+documents" TargetMode="External"/><Relationship Id="rId27" Type="http://schemas.openxmlformats.org/officeDocument/2006/relationships/image" Target="media/image1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Sinkovec</dc:creator>
  <cp:keywords/>
  <dc:description/>
  <cp:lastModifiedBy>Bostjan Sinkovec</cp:lastModifiedBy>
  <cp:revision>21</cp:revision>
  <dcterms:created xsi:type="dcterms:W3CDTF">2023-02-16T12:25:00Z</dcterms:created>
  <dcterms:modified xsi:type="dcterms:W3CDTF">2023-02-17T13:55:00Z</dcterms:modified>
</cp:coreProperties>
</file>