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73BF9" w14:paraId="5BDD8BB9" w14:textId="77777777" w:rsidTr="00673BF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673BF9" w14:paraId="6B2BF748" w14:textId="77777777"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673BF9" w14:paraId="206E349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561AA86" w14:textId="77777777" w:rsidR="00673BF9" w:rsidRDefault="00673BF9">
                        <w:pPr>
                          <w:pStyle w:val="Heading3"/>
                          <w:rPr>
                            <w:rFonts w:eastAsia="Times New Roman"/>
                            <w:lang w:eastAsia="en-BE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Znani so dobitniki nagrad za socialne inovacije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  <w:t> </w:t>
                        </w:r>
                      </w:p>
                      <w:p w14:paraId="2ED79B51" w14:textId="60C3903E" w:rsidR="00673BF9" w:rsidRDefault="00673BF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606060"/>
                            <w:sz w:val="18"/>
                            <w:szCs w:val="18"/>
                          </w:rPr>
                          <w:drawing>
                            <wp:inline distT="0" distB="0" distL="0" distR="0" wp14:anchorId="2FCD05B5" wp14:editId="2FB8D4AC">
                              <wp:extent cx="2540000" cy="1022350"/>
                              <wp:effectExtent l="0" t="0" r="0" b="6350"/>
                              <wp:docPr id="52" name="Picture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Evropska komisija je razglasila letošnje dobitnike nagrad za socialne inovacije. To so belgijsko podjetje resortecs®, hrvaška digitalna platforma Snake i9n romunski WhyWe Craft.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7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DAA520"/>
                              <w:sz w:val="18"/>
                              <w:szCs w:val="18"/>
                            </w:rPr>
                            <w:t>Spletna stran z informacijami o nagradah in nagrajencih</w:t>
                          </w:r>
                        </w:hyperlink>
                      </w:p>
                    </w:tc>
                  </w:tr>
                </w:tbl>
                <w:p w14:paraId="3EE4473E" w14:textId="77777777" w:rsidR="00673BF9" w:rsidRDefault="00673B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673BF9" w14:paraId="1F77E986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68DECD0" w14:textId="77777777" w:rsidR="00673BF9" w:rsidRDefault="00673BF9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Razširitev direktive o administrativnem sodelovanju na kripto premoženje in e-denar</w:t>
                        </w:r>
                      </w:p>
                      <w:p w14:paraId="1DC2D8DB" w14:textId="1DE26400" w:rsidR="00673BF9" w:rsidRDefault="00673BF9">
                        <w:pPr>
                          <w:pStyle w:val="Heading3"/>
                          <w:jc w:val="both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6760AC3F" wp14:editId="76510965">
                              <wp:extent cx="2540000" cy="1022350"/>
                              <wp:effectExtent l="0" t="0" r="0" b="6350"/>
                              <wp:docPr id="51" name="Picture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706159C" w14:textId="77777777" w:rsidR="00673BF9" w:rsidRDefault="00673BF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Evropska komisija je objavila načrt za vključitev kriptopremoženja in e-denarja v direktivo o upravnem sodelovanju na področju obdavčevanja (DAC8). Predloge in mnenja deležnikov pričakuje do 21. decembra.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DAA520"/>
                              <w:sz w:val="18"/>
                              <w:szCs w:val="18"/>
                            </w:rPr>
                            <w:t>Spletna stran za sodelovanje v razpravi</w:t>
                          </w:r>
                        </w:hyperlink>
                      </w:p>
                    </w:tc>
                  </w:tr>
                </w:tbl>
                <w:p w14:paraId="56468A14" w14:textId="77777777" w:rsidR="00673BF9" w:rsidRDefault="00673B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BA7314" w14:textId="77777777" w:rsidR="00673BF9" w:rsidRDefault="00673B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4620A8" w14:textId="77777777" w:rsidR="00673BF9" w:rsidRDefault="00673BF9" w:rsidP="00673BF9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73BF9" w14:paraId="6BCFEB85" w14:textId="77777777" w:rsidTr="00673BF9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673BF9" w14:paraId="7FC23CF9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5FAED0" w14:textId="77777777" w:rsidR="00673BF9" w:rsidRDefault="00673BF9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59AA0D5F" w14:textId="77777777" w:rsidR="00673BF9" w:rsidRDefault="00673B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8B50BE" w14:textId="77777777" w:rsidR="00673BF9" w:rsidRDefault="00673BF9" w:rsidP="00673BF9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73BF9" w14:paraId="3403F423" w14:textId="77777777" w:rsidTr="00673BF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673BF9" w14:paraId="11929ADD" w14:textId="77777777"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673BF9" w14:paraId="6272F3B2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5A55393" w14:textId="2E4EBBDA" w:rsidR="00673BF9" w:rsidRDefault="00673BF9">
                        <w:pPr>
                          <w:pStyle w:val="Heading3"/>
                          <w:rPr>
                            <w:rFonts w:eastAsia="Times New Roman"/>
                            <w:lang w:val="en-BE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Rezultati ankete o poslovanju podjetij v območju evra od aprila do septembra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2BCCF46" wp14:editId="7DF80117">
                              <wp:extent cx="2540000" cy="1022350"/>
                              <wp:effectExtent l="0" t="0" r="0" b="6350"/>
                              <wp:docPr id="50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2842457" w14:textId="77777777" w:rsidR="00673BF9" w:rsidRDefault="00673BF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 xml:space="preserve">Mala in srednja podjetja v območju z evrom poročajo, da se jim je v obdobju od aprila do septembra močno zmanjšal promet, med najmanj problematičnimi zadevami pa je dostop do virov financiranja, ugotavlja </w:t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lastRenderedPageBreak/>
                          <w:t>Evropska centralna banka (ECB).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DAA520"/>
                              <w:sz w:val="18"/>
                              <w:szCs w:val="18"/>
                            </w:rPr>
                            <w:t>Poročilo</w:t>
                          </w:r>
                        </w:hyperlink>
                      </w:p>
                    </w:tc>
                  </w:tr>
                </w:tbl>
                <w:p w14:paraId="6EFBE88D" w14:textId="77777777" w:rsidR="00673BF9" w:rsidRDefault="00673B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673BF9" w14:paraId="4D980030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11550D9" w14:textId="77777777" w:rsidR="00673BF9" w:rsidRDefault="00673BF9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lastRenderedPageBreak/>
                          <w:t>Javno posvetovanje o znižanju stroškov za postavitev omrežij visokih hitrosti</w:t>
                        </w:r>
                      </w:p>
                      <w:p w14:paraId="39CB76C4" w14:textId="7982AA5F" w:rsidR="00673BF9" w:rsidRDefault="00673BF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  <w:color w:val="606060"/>
                            <w:sz w:val="23"/>
                            <w:szCs w:val="23"/>
                          </w:rPr>
                          <w:drawing>
                            <wp:inline distT="0" distB="0" distL="0" distR="0" wp14:anchorId="20685080" wp14:editId="0329E6AA">
                              <wp:extent cx="2540000" cy="1022350"/>
                              <wp:effectExtent l="0" t="0" r="0" b="635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 xml:space="preserve">Evropska komisija prek javnega posvetovanja do 2. marca 2021 zbira mnenja in predloge, ali bi bilo treba spremeniti oziroma dopolniti direktivo o ukrepih za znižanje stroškov za postavitev elektronskih komunikacijskih </w:t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lastRenderedPageBreak/>
                          <w:t>omrežij visokih hitrosti.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DAA520"/>
                              <w:sz w:val="18"/>
                              <w:szCs w:val="18"/>
                            </w:rPr>
                            <w:t>Spletna stran posvetovanja</w:t>
                          </w:r>
                        </w:hyperlink>
                      </w:p>
                    </w:tc>
                  </w:tr>
                </w:tbl>
                <w:p w14:paraId="5B4C1A1C" w14:textId="77777777" w:rsidR="00673BF9" w:rsidRDefault="00673B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04BB8F9" w14:textId="77777777" w:rsidR="00673BF9" w:rsidRDefault="00673B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B9A7BA" w14:textId="77777777" w:rsidR="00673BF9" w:rsidRDefault="00673BF9" w:rsidP="00673BF9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73BF9" w14:paraId="5EED5FEB" w14:textId="77777777" w:rsidTr="00673BF9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673BF9" w14:paraId="015970C4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644935" w14:textId="77777777" w:rsidR="00673BF9" w:rsidRDefault="00673BF9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5F47C214" w14:textId="77777777" w:rsidR="00673BF9" w:rsidRDefault="00673B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8599D4" w14:textId="77777777" w:rsidR="00673BF9" w:rsidRDefault="00673BF9" w:rsidP="00673BF9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73BF9" w14:paraId="3C618FC5" w14:textId="77777777" w:rsidTr="00673BF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673BF9" w14:paraId="002298C2" w14:textId="77777777"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673BF9" w14:paraId="7B70CFDC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76B4397" w14:textId="49C4A9BE" w:rsidR="00673BF9" w:rsidRDefault="00673BF9">
                        <w:pPr>
                          <w:pStyle w:val="Heading3"/>
                          <w:rPr>
                            <w:rFonts w:eastAsia="Times New Roman"/>
                            <w:lang w:val="en-BE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Sprejet je akcijski načrt o zaščiti intelektualne lastnine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5CE50E73" wp14:editId="19D6353A">
                              <wp:extent cx="2540000" cy="1022350"/>
                              <wp:effectExtent l="0" t="0" r="0" b="6350"/>
                              <wp:docPr id="48" name="Pictur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90CCF12" w14:textId="77777777" w:rsidR="00673BF9" w:rsidRDefault="00673BF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606060"/>
                            <w:sz w:val="18"/>
                            <w:szCs w:val="18"/>
                          </w:rPr>
                          <w:t>Evropska komisija je sprejela nov načrt za zaščito intelektualne lastnine, v katerem navaja pet ključnih področij za izboljšanje zaščite v prihodnjih letih.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15" w:history="1">
                          <w:r>
                            <w:rPr>
                              <w:rStyle w:val="Hyperlink"/>
                              <w:rFonts w:eastAsia="Times New Roman"/>
                              <w:color w:val="DAA520"/>
                              <w:sz w:val="18"/>
                              <w:szCs w:val="18"/>
                            </w:rPr>
                            <w:t>Akcijski načrt</w:t>
                          </w:r>
                        </w:hyperlink>
                      </w:p>
                    </w:tc>
                  </w:tr>
                </w:tbl>
                <w:p w14:paraId="31E32189" w14:textId="77777777" w:rsidR="00673BF9" w:rsidRDefault="00673B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673BF9" w14:paraId="1CCC6350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718A4CEC" w14:textId="77777777" w:rsidR="00673BF9" w:rsidRDefault="00673BF9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Podjetja nameravajo zaradi pandemije manj investirati, je pokazala anketa banke EIB</w:t>
                        </w:r>
                      </w:p>
                      <w:p w14:paraId="61B5F6DD" w14:textId="7ECC16F7" w:rsidR="00673BF9" w:rsidRDefault="00673BF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606060"/>
                            <w:sz w:val="18"/>
                            <w:szCs w:val="18"/>
                          </w:rPr>
                          <w:drawing>
                            <wp:inline distT="0" distB="0" distL="0" distR="0" wp14:anchorId="5A683B5A" wp14:editId="111F74AF">
                              <wp:extent cx="2540000" cy="1022350"/>
                              <wp:effectExtent l="0" t="0" r="0" b="6350"/>
                              <wp:docPr id="47" name="Picture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Da bodo v tekočem finančnem letu zaradi pandemije novega koronavirusa manj investirala, kot so nameravala, je v anketi Evropske investicijske banke (EIB) odgovorilo 45 odstotkov podjetij. Kot glavno dolgoročno posledico pandemije je 50 odstotkov podjetij navedlo povečanje rabe digitalnih tehnologij.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17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DAA520"/>
                              <w:sz w:val="18"/>
                              <w:szCs w:val="18"/>
                            </w:rPr>
                            <w:t>Rezultati ankete</w:t>
                          </w:r>
                        </w:hyperlink>
                      </w:p>
                    </w:tc>
                  </w:tr>
                </w:tbl>
                <w:p w14:paraId="680AC489" w14:textId="77777777" w:rsidR="00673BF9" w:rsidRDefault="00673B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4B0DE9" w14:textId="77777777" w:rsidR="00673BF9" w:rsidRDefault="00673B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D53E8E" w14:textId="77777777" w:rsidR="00673BF9" w:rsidRDefault="00673BF9" w:rsidP="00673BF9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73BF9" w14:paraId="1C257CD3" w14:textId="77777777" w:rsidTr="00673BF9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673BF9" w14:paraId="44DD6B81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CD73B9" w14:textId="77777777" w:rsidR="00673BF9" w:rsidRDefault="00673BF9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7D7211E5" w14:textId="77777777" w:rsidR="00673BF9" w:rsidRDefault="00673B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325D3A" w14:textId="77777777" w:rsidR="00673BF9" w:rsidRDefault="00673BF9" w:rsidP="00673BF9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73BF9" w14:paraId="6E07F055" w14:textId="77777777" w:rsidTr="00673BF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673BF9" w14:paraId="502F194C" w14:textId="77777777"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673BF9" w14:paraId="235217D0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82F6B36" w14:textId="2F5D65E8" w:rsidR="00673BF9" w:rsidRDefault="00673BF9">
                        <w:pPr>
                          <w:pStyle w:val="Heading3"/>
                          <w:rPr>
                            <w:rFonts w:eastAsia="Times New Roman"/>
                            <w:lang w:val="en-BE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Sodba o napotitvi delavcev na delo v okviru opravljanja storitev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6BB9C2E9" wp14:editId="4639B83A">
                              <wp:extent cx="2540000" cy="1022350"/>
                              <wp:effectExtent l="0" t="0" r="0" b="6350"/>
                              <wp:docPr id="46" name="Pictur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E30DB19" w14:textId="77777777" w:rsidR="00673BF9" w:rsidRDefault="00673BF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Direktiva o napotitvi delavcev na delo v okviru opravljanja storitev se uporablja za čezmejno opravljanje storitev v sektorju cestnega prevoza, je odločilo Sodišče EU.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19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DAA520"/>
                              <w:sz w:val="18"/>
                              <w:szCs w:val="18"/>
                            </w:rPr>
                            <w:t>Sodba</w:t>
                          </w:r>
                        </w:hyperlink>
                      </w:p>
                    </w:tc>
                  </w:tr>
                </w:tbl>
                <w:p w14:paraId="1F685637" w14:textId="77777777" w:rsidR="00673BF9" w:rsidRDefault="00673B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673BF9" w14:paraId="06E1FA0A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00C032AF" w14:textId="77777777" w:rsidR="00673BF9" w:rsidRDefault="00673BF9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Sodba Sodišča EU o taksi storitvah prek elektronske aplikacije</w:t>
                        </w:r>
                      </w:p>
                      <w:p w14:paraId="6865079D" w14:textId="6C4D2AA8" w:rsidR="00673BF9" w:rsidRDefault="00673BF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606060"/>
                            <w:sz w:val="18"/>
                            <w:szCs w:val="18"/>
                          </w:rPr>
                          <w:drawing>
                            <wp:inline distT="0" distB="0" distL="0" distR="0" wp14:anchorId="50774EF8" wp14:editId="5D38EF9C">
                              <wp:extent cx="2540000" cy="1022350"/>
                              <wp:effectExtent l="0" t="0" r="0" b="6350"/>
                              <wp:docPr id="45" name="Picture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Storitev, s katero se stranke prek elektronske aplikacije neposredno povezujejo z vozniki taksija, je storitev informacijske družbe, kadar ni sestavni del celotne storitve, katere glavni element je opravljanje prevoza, je razsodilo Sodišče EU.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lastRenderedPageBreak/>
                          <w:t>Več: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21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DAA520"/>
                              <w:sz w:val="18"/>
                              <w:szCs w:val="18"/>
                            </w:rPr>
                            <w:t>Sodba</w:t>
                          </w:r>
                        </w:hyperlink>
                      </w:p>
                    </w:tc>
                  </w:tr>
                </w:tbl>
                <w:p w14:paraId="26421512" w14:textId="77777777" w:rsidR="00673BF9" w:rsidRDefault="00673B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EA5692" w14:textId="77777777" w:rsidR="00673BF9" w:rsidRDefault="00673B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9BF027" w14:textId="77777777" w:rsidR="00673BF9" w:rsidRDefault="00673BF9" w:rsidP="00673BF9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73BF9" w14:paraId="21E6CE0C" w14:textId="77777777" w:rsidTr="00673BF9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6"/>
            </w:tblGrid>
            <w:tr w:rsidR="00673BF9" w14:paraId="6C3C28E0" w14:textId="77777777">
              <w:trPr>
                <w:hidden/>
              </w:trPr>
              <w:tc>
                <w:tcPr>
                  <w:tcW w:w="0" w:type="auto"/>
                  <w:tcBorders>
                    <w:top w:val="single" w:sz="6" w:space="0" w:color="DAA52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58EB00" w14:textId="77777777" w:rsidR="00673BF9" w:rsidRDefault="00673BF9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5AF91D53" w14:textId="77777777" w:rsidR="00673BF9" w:rsidRDefault="00673B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7B747B" w14:textId="77777777" w:rsidR="00673BF9" w:rsidRDefault="00673BF9" w:rsidP="00673BF9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73BF9" w14:paraId="427F2AF3" w14:textId="77777777" w:rsidTr="00673BF9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4513"/>
            </w:tblGrid>
            <w:tr w:rsidR="00673BF9" w14:paraId="1F764CD1" w14:textId="77777777"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673BF9" w14:paraId="25F33BB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1306F85" w14:textId="6F604CAF" w:rsidR="00673BF9" w:rsidRDefault="00673BF9">
                        <w:pPr>
                          <w:pStyle w:val="Heading3"/>
                          <w:rPr>
                            <w:rFonts w:eastAsia="Times New Roman"/>
                            <w:lang w:val="en-BE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Vzpostavljeno je vozlišče Digital4Development (D4D)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C1D5058" wp14:editId="60F69934">
                              <wp:extent cx="2540000" cy="1022350"/>
                              <wp:effectExtent l="0" t="0" r="0" b="6350"/>
                              <wp:docPr id="44" name="Pictur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A331D2E" w14:textId="77777777" w:rsidR="00673BF9" w:rsidRDefault="00673BF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Vzpostavljeno je vozlišče Digital4Development (D4D). Cilji platforme, ki združuje ključne deležnike iz držav članic EU, zasebnega sektorja, civilne družbe in finančnih institucij, so povečanje naložb v digitalno preobrazbo partnerskih držav, spodbujanje celovitih, na vrednotah temelječih pravil za digitalno gospodarstvo in družbo po vsem svetu ter spodbujanje močnejšega in bolj strateškega sodelovanja EU v mednarodnih digitalnih partnerstvih.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23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DAA520"/>
                              <w:sz w:val="18"/>
                              <w:szCs w:val="18"/>
                            </w:rPr>
                            <w:t>Platforma</w:t>
                          </w:r>
                        </w:hyperlink>
                      </w:p>
                    </w:tc>
                  </w:tr>
                </w:tbl>
                <w:p w14:paraId="7F469253" w14:textId="77777777" w:rsidR="00673BF9" w:rsidRDefault="00673B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3"/>
                  </w:tblGrid>
                  <w:tr w:rsidR="00673BF9" w14:paraId="56996761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16878DB" w14:textId="77777777" w:rsidR="00673BF9" w:rsidRDefault="00673BF9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  <w:color w:val="000080"/>
                          </w:rPr>
                          <w:t>Nova pravila za primere uporabe referenčne vrednosti v finančnih instrumentih</w:t>
                        </w:r>
                      </w:p>
                      <w:p w14:paraId="2FF14965" w14:textId="76B00847" w:rsidR="00673BF9" w:rsidRDefault="00673BF9">
                        <w:pPr>
                          <w:spacing w:line="360" w:lineRule="auto"/>
                          <w:jc w:val="both"/>
                          <w:rPr>
                            <w:rFonts w:ascii="Helvetica" w:eastAsia="Times New Roman" w:hAnsi="Helvetica" w:cs="Helvetica"/>
                            <w:color w:val="60606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606060"/>
                            <w:sz w:val="18"/>
                            <w:szCs w:val="18"/>
                          </w:rPr>
                          <w:drawing>
                            <wp:inline distT="0" distB="0" distL="0" distR="0" wp14:anchorId="5BA0080C" wp14:editId="474D2C79">
                              <wp:extent cx="2540000" cy="1022350"/>
                              <wp:effectExtent l="0" t="0" r="0" b="6350"/>
                              <wp:docPr id="43" name="Pictur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0" cy="1022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Države članice so v okviru Sveta EU potrdile dopolnitev uredbe o indeksih, ki se uporabljajo kot referenčne vrednosti v finančnih instrumentih in finančnih pogodbah ali za merjenje uspešnosti investicijskih skladov in uredbe o izvedenih finančnih instrumentih OTC, centralnih nasprotnih strankah in repozitorijih sklenjenih poslov. Namen sprememb je vzpostaviti okvir za gladek prehod v primeru zaključka uporabe referenčnih vrednosti. Sledi se formalna potrditev v Svetu EU in Evropskem parlamentu.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Style w:val="Strong"/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Več: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606060"/>
                            <w:sz w:val="18"/>
                            <w:szCs w:val="18"/>
                          </w:rPr>
                          <w:br/>
                        </w:r>
                        <w:hyperlink r:id="rId25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color w:val="DAA520"/>
                              <w:sz w:val="18"/>
                              <w:szCs w:val="18"/>
                            </w:rPr>
                            <w:t>Predlog uredbe</w:t>
                          </w:r>
                        </w:hyperlink>
                      </w:p>
                    </w:tc>
                  </w:tr>
                </w:tbl>
                <w:p w14:paraId="561FDD36" w14:textId="77777777" w:rsidR="00673BF9" w:rsidRDefault="00673B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86DAC7E" w14:textId="77777777" w:rsidR="00673BF9" w:rsidRDefault="00673B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7B142B" w14:textId="501B69E3" w:rsidR="00515F0E" w:rsidRPr="00673BF9" w:rsidRDefault="00515F0E" w:rsidP="00673BF9"/>
    <w:sectPr w:rsidR="00515F0E" w:rsidRPr="00673BF9" w:rsidSect="00673BF9">
      <w:headerReference w:type="first" r:id="rId26"/>
      <w:pgSz w:w="11906" w:h="16838"/>
      <w:pgMar w:top="1440" w:right="1440" w:bottom="56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52B79" w14:textId="77777777" w:rsidR="00833DD9" w:rsidRDefault="00833DD9" w:rsidP="00515F0E">
      <w:r>
        <w:separator/>
      </w:r>
    </w:p>
  </w:endnote>
  <w:endnote w:type="continuationSeparator" w:id="0">
    <w:p w14:paraId="62F0AAC9" w14:textId="77777777" w:rsidR="00833DD9" w:rsidRDefault="00833DD9" w:rsidP="0051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FA7B6" w14:textId="77777777" w:rsidR="00833DD9" w:rsidRDefault="00833DD9" w:rsidP="00515F0E">
      <w:r>
        <w:separator/>
      </w:r>
    </w:p>
  </w:footnote>
  <w:footnote w:type="continuationSeparator" w:id="0">
    <w:p w14:paraId="5C8EA129" w14:textId="77777777" w:rsidR="00833DD9" w:rsidRDefault="00833DD9" w:rsidP="00515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B3A75" w14:textId="7B00286A" w:rsidR="00515F0E" w:rsidRDefault="00673BF9" w:rsidP="00515F0E">
    <w:pPr>
      <w:pStyle w:val="Header"/>
      <w:jc w:val="center"/>
    </w:pPr>
    <w:r>
      <w:rPr>
        <w:rFonts w:eastAsia="Times New Roman"/>
        <w:noProof/>
      </w:rPr>
      <w:drawing>
        <wp:inline distT="0" distB="0" distL="0" distR="0" wp14:anchorId="5C540A5F" wp14:editId="60D2331F">
          <wp:extent cx="5372100" cy="2425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242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7D"/>
    <w:rsid w:val="00333D91"/>
    <w:rsid w:val="00515F0E"/>
    <w:rsid w:val="00673BF9"/>
    <w:rsid w:val="00681B7D"/>
    <w:rsid w:val="00775FAB"/>
    <w:rsid w:val="0081796D"/>
    <w:rsid w:val="00833DD9"/>
    <w:rsid w:val="009B3B7D"/>
    <w:rsid w:val="00D347F8"/>
    <w:rsid w:val="00D40831"/>
    <w:rsid w:val="00F4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B7610A"/>
  <w15:chartTrackingRefBased/>
  <w15:docId w15:val="{283BF032-7C60-4AF3-8997-5674C692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F0E"/>
    <w:pPr>
      <w:spacing w:after="0" w:line="240" w:lineRule="auto"/>
    </w:pPr>
    <w:rPr>
      <w:rFonts w:ascii="Calibri" w:hAnsi="Calibri" w:cs="Calibri"/>
      <w:lang w:eastAsia="en-BE"/>
    </w:rPr>
  </w:style>
  <w:style w:type="paragraph" w:styleId="Heading3">
    <w:name w:val="heading 3"/>
    <w:basedOn w:val="Normal"/>
    <w:link w:val="Heading3Char"/>
    <w:uiPriority w:val="9"/>
    <w:unhideWhenUsed/>
    <w:qFormat/>
    <w:rsid w:val="00515F0E"/>
    <w:pPr>
      <w:spacing w:line="300" w:lineRule="auto"/>
      <w:outlineLvl w:val="2"/>
    </w:pPr>
    <w:rPr>
      <w:rFonts w:ascii="Helvetica" w:hAnsi="Helvetica" w:cs="Helvetica"/>
      <w:b/>
      <w:bCs/>
      <w:color w:val="606060"/>
      <w:spacing w:val="-8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5F0E"/>
    <w:rPr>
      <w:rFonts w:ascii="Helvetica" w:hAnsi="Helvetica" w:cs="Helvetica"/>
      <w:b/>
      <w:bCs/>
      <w:color w:val="606060"/>
      <w:spacing w:val="-8"/>
      <w:sz w:val="27"/>
      <w:szCs w:val="27"/>
      <w:lang w:val="en-BE" w:eastAsia="en-BE"/>
    </w:rPr>
  </w:style>
  <w:style w:type="character" w:styleId="Strong">
    <w:name w:val="Strong"/>
    <w:basedOn w:val="DefaultParagraphFont"/>
    <w:uiPriority w:val="22"/>
    <w:qFormat/>
    <w:rsid w:val="00515F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5F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F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F0E"/>
    <w:rPr>
      <w:rFonts w:ascii="Calibri" w:hAnsi="Calibri" w:cs="Calibri"/>
      <w:lang w:val="en-BE" w:eastAsia="en-BE"/>
    </w:rPr>
  </w:style>
  <w:style w:type="paragraph" w:styleId="Footer">
    <w:name w:val="footer"/>
    <w:basedOn w:val="Normal"/>
    <w:link w:val="FooterChar"/>
    <w:uiPriority w:val="99"/>
    <w:unhideWhenUsed/>
    <w:rsid w:val="00515F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F0E"/>
    <w:rPr>
      <w:rFonts w:ascii="Calibri" w:hAnsi="Calibri" w:cs="Calibri"/>
      <w:lang w:val="en-BE" w:eastAsia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bra.us8.list-manage.com/track/click?u=e6e6edab27aee286b10f651f9&amp;id=6e4411450a&amp;e=b881071455" TargetMode="External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sbra.us8.list-manage.com/track/click?u=e6e6edab27aee286b10f651f9&amp;id=bbc44b31e3&amp;e=b881071455" TargetMode="External"/><Relationship Id="rId7" Type="http://schemas.openxmlformats.org/officeDocument/2006/relationships/hyperlink" Target="https://sbra.us8.list-manage.com/track/click?u=e6e6edab27aee286b10f651f9&amp;id=eb11117a1d&amp;e=b881071455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sbra.us8.list-manage.com/track/click?u=e6e6edab27aee286b10f651f9&amp;id=7e7f0ba984&amp;e=b881071455" TargetMode="External"/><Relationship Id="rId25" Type="http://schemas.openxmlformats.org/officeDocument/2006/relationships/hyperlink" Target="https://sbra.us8.list-manage.com/track/click?u=e6e6edab27aee286b10f651f9&amp;id=452a3e3acf&amp;e=b88107145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bra.us8.list-manage.com/track/click?u=e6e6edab27aee286b10f651f9&amp;id=7df7744b4d&amp;e=b881071455" TargetMode="Externa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hyperlink" Target="https://sbra.us8.list-manage.com/track/click?u=e6e6edab27aee286b10f651f9&amp;id=9851aae39a&amp;e=b881071455" TargetMode="External"/><Relationship Id="rId23" Type="http://schemas.openxmlformats.org/officeDocument/2006/relationships/hyperlink" Target="https://sbra.us8.list-manage.com/track/click?u=e6e6edab27aee286b10f651f9&amp;id=0c30796f90&amp;e=b881071455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sbra.us8.list-manage.com/track/click?u=e6e6edab27aee286b10f651f9&amp;id=9a23eb6e98&amp;e=b8810714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bra.us8.list-manage.com/track/click?u=e6e6edab27aee286b10f651f9&amp;id=954fbdedbf&amp;e=b881071455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3</cp:revision>
  <dcterms:created xsi:type="dcterms:W3CDTF">2020-12-15T15:24:00Z</dcterms:created>
  <dcterms:modified xsi:type="dcterms:W3CDTF">2020-12-15T15:26:00Z</dcterms:modified>
</cp:coreProperties>
</file>