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179C3" w14:textId="77777777" w:rsidR="0052492C" w:rsidRDefault="0052492C" w:rsidP="0019409A">
      <w:pPr>
        <w:jc w:val="both"/>
        <w:rPr>
          <w:rFonts w:ascii="Arial" w:hAnsi="Arial"/>
          <w:b/>
          <w:bCs/>
          <w:sz w:val="20"/>
          <w:szCs w:val="20"/>
        </w:rPr>
      </w:pPr>
    </w:p>
    <w:p w14:paraId="41B7C4AE" w14:textId="3B5F4D33" w:rsidR="009C2549" w:rsidRDefault="009C2549" w:rsidP="0019409A">
      <w:pPr>
        <w:jc w:val="both"/>
        <w:rPr>
          <w:rFonts w:ascii="Arial" w:hAnsi="Arial"/>
          <w:b/>
          <w:bCs/>
          <w:sz w:val="20"/>
          <w:szCs w:val="20"/>
        </w:rPr>
      </w:pPr>
      <w:r>
        <w:rPr>
          <w:rFonts w:ascii="Arial" w:hAnsi="Arial"/>
          <w:b/>
          <w:bCs/>
          <w:noProof/>
          <w:sz w:val="20"/>
          <w:szCs w:val="20"/>
        </w:rPr>
        <w:drawing>
          <wp:inline distT="0" distB="0" distL="0" distR="0" wp14:anchorId="0C2CA0CF" wp14:editId="053F3D0A">
            <wp:extent cx="2638247" cy="1057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0616" cy="1058225"/>
                    </a:xfrm>
                    <a:prstGeom prst="rect">
                      <a:avLst/>
                    </a:prstGeom>
                    <a:noFill/>
                    <a:ln>
                      <a:noFill/>
                    </a:ln>
                  </pic:spPr>
                </pic:pic>
              </a:graphicData>
            </a:graphic>
          </wp:inline>
        </w:drawing>
      </w:r>
    </w:p>
    <w:p w14:paraId="060D52D5" w14:textId="2760A572" w:rsidR="0019409A" w:rsidRPr="0031185F" w:rsidRDefault="0019409A" w:rsidP="0019409A">
      <w:pPr>
        <w:jc w:val="both"/>
        <w:rPr>
          <w:rFonts w:ascii="Arial" w:hAnsi="Arial"/>
          <w:b/>
          <w:bCs/>
          <w:color w:val="1F3864" w:themeColor="accent1" w:themeShade="80"/>
          <w:sz w:val="20"/>
          <w:szCs w:val="20"/>
        </w:rPr>
      </w:pPr>
      <w:r w:rsidRPr="0031185F">
        <w:rPr>
          <w:rFonts w:ascii="Arial" w:hAnsi="Arial"/>
          <w:b/>
          <w:bCs/>
          <w:color w:val="1F3864" w:themeColor="accent1" w:themeShade="80"/>
          <w:sz w:val="20"/>
          <w:szCs w:val="20"/>
        </w:rPr>
        <w:t>Evropska komisija je odobrila strateški načrt skupne kmetijske politike za Slovenijo</w:t>
      </w:r>
    </w:p>
    <w:p w14:paraId="482F7AEA" w14:textId="77777777" w:rsidR="0019409A" w:rsidRPr="0031185F" w:rsidRDefault="0019409A" w:rsidP="0019409A">
      <w:pPr>
        <w:jc w:val="both"/>
        <w:rPr>
          <w:rFonts w:ascii="Arial" w:hAnsi="Arial"/>
          <w:color w:val="1F3864" w:themeColor="accent1" w:themeShade="80"/>
          <w:sz w:val="20"/>
          <w:szCs w:val="20"/>
        </w:rPr>
      </w:pPr>
    </w:p>
    <w:p w14:paraId="608B2C10" w14:textId="77777777" w:rsidR="0019409A" w:rsidRPr="0031185F" w:rsidRDefault="0019409A" w:rsidP="0019409A">
      <w:pPr>
        <w:jc w:val="both"/>
        <w:rPr>
          <w:rFonts w:ascii="Arial" w:hAnsi="Arial"/>
          <w:color w:val="1F3864" w:themeColor="accent1" w:themeShade="80"/>
          <w:sz w:val="20"/>
          <w:szCs w:val="20"/>
        </w:rPr>
      </w:pPr>
      <w:r w:rsidRPr="0031185F">
        <w:rPr>
          <w:rFonts w:ascii="Arial" w:hAnsi="Arial"/>
          <w:color w:val="1F3864" w:themeColor="accent1" w:themeShade="80"/>
          <w:sz w:val="20"/>
          <w:szCs w:val="20"/>
        </w:rPr>
        <w:t>Evropska komisija je danes odobrila strateški načrt skupne kmetijske politike za Slovenijo za obdobje 2023–2027 v vrednosti približno 1,2 milijarde evrov. Ta sredstva so med drugim predvidena za podporo proizvodnji obnovljive energije iz kmetijstva, kar pomeni, da bodo kmetom na voljo sredstva za vlaganje v bioplin, biometan in geotermalne vrtine za lastne potrebe. Člani lahko dobijo več i9nforkmacij na SBRA.</w:t>
      </w:r>
    </w:p>
    <w:p w14:paraId="56263F79" w14:textId="77777777" w:rsidR="0019409A" w:rsidRPr="0031185F" w:rsidRDefault="0019409A" w:rsidP="0019409A">
      <w:pPr>
        <w:jc w:val="both"/>
        <w:rPr>
          <w:rFonts w:ascii="Arial" w:hAnsi="Arial"/>
          <w:color w:val="1F3864" w:themeColor="accent1" w:themeShade="80"/>
          <w:sz w:val="20"/>
          <w:szCs w:val="20"/>
        </w:rPr>
      </w:pPr>
    </w:p>
    <w:p w14:paraId="145DE0BF" w14:textId="77777777" w:rsidR="0019409A" w:rsidRPr="0031185F" w:rsidRDefault="0019409A" w:rsidP="0019409A">
      <w:pPr>
        <w:jc w:val="both"/>
        <w:rPr>
          <w:rFonts w:ascii="Arial" w:hAnsi="Arial"/>
          <w:color w:val="1F3864" w:themeColor="accent1" w:themeShade="80"/>
          <w:sz w:val="20"/>
          <w:szCs w:val="20"/>
        </w:rPr>
      </w:pPr>
      <w:r w:rsidRPr="0031185F">
        <w:rPr>
          <w:rFonts w:ascii="Arial" w:hAnsi="Arial"/>
          <w:color w:val="1F3864" w:themeColor="accent1" w:themeShade="80"/>
          <w:sz w:val="20"/>
          <w:szCs w:val="20"/>
        </w:rPr>
        <w:t>Več:</w:t>
      </w:r>
    </w:p>
    <w:p w14:paraId="7083C66B" w14:textId="77777777" w:rsidR="0019409A" w:rsidRPr="006F7FBF" w:rsidRDefault="00000000" w:rsidP="0019409A">
      <w:pPr>
        <w:jc w:val="both"/>
        <w:rPr>
          <w:rFonts w:ascii="Arial" w:hAnsi="Arial"/>
          <w:color w:val="FFC000"/>
          <w:sz w:val="20"/>
          <w:szCs w:val="20"/>
        </w:rPr>
      </w:pPr>
      <w:hyperlink r:id="rId7" w:history="1">
        <w:r w:rsidR="0019409A" w:rsidRPr="006F7FBF">
          <w:rPr>
            <w:rStyle w:val="Hyperlink"/>
            <w:rFonts w:ascii="Arial" w:hAnsi="Arial"/>
            <w:color w:val="FFC000"/>
            <w:sz w:val="20"/>
            <w:szCs w:val="20"/>
          </w:rPr>
          <w:t>Spletna stran s povezavo na načrt</w:t>
        </w:r>
      </w:hyperlink>
    </w:p>
    <w:p w14:paraId="6103DFA7" w14:textId="0C995EE9" w:rsidR="00162150" w:rsidRPr="006F7FBF" w:rsidRDefault="00162150">
      <w:pPr>
        <w:rPr>
          <w:color w:val="FFC000"/>
        </w:rPr>
      </w:pPr>
    </w:p>
    <w:p w14:paraId="72DACE02" w14:textId="55424A72" w:rsidR="00DF1060" w:rsidRDefault="00DF1060"/>
    <w:p w14:paraId="6B2ED78B" w14:textId="020D8336" w:rsidR="00D52012" w:rsidRDefault="00D52012">
      <w:r>
        <w:rPr>
          <w:noProof/>
        </w:rPr>
        <w:drawing>
          <wp:inline distT="0" distB="0" distL="0" distR="0" wp14:anchorId="47AD0225" wp14:editId="4EFFCE32">
            <wp:extent cx="2600325" cy="104207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0627" cy="1042199"/>
                    </a:xfrm>
                    <a:prstGeom prst="rect">
                      <a:avLst/>
                    </a:prstGeom>
                    <a:noFill/>
                    <a:ln>
                      <a:noFill/>
                    </a:ln>
                  </pic:spPr>
                </pic:pic>
              </a:graphicData>
            </a:graphic>
          </wp:inline>
        </w:drawing>
      </w:r>
    </w:p>
    <w:p w14:paraId="413EAAA3" w14:textId="77777777" w:rsidR="00DF1060" w:rsidRPr="0031185F" w:rsidRDefault="00DF1060" w:rsidP="00DF1060">
      <w:pPr>
        <w:jc w:val="both"/>
        <w:rPr>
          <w:rFonts w:ascii="Arial" w:hAnsi="Arial"/>
          <w:b/>
          <w:bCs/>
          <w:color w:val="1F3864" w:themeColor="accent1" w:themeShade="80"/>
          <w:sz w:val="20"/>
          <w:szCs w:val="20"/>
        </w:rPr>
      </w:pPr>
      <w:r w:rsidRPr="0031185F">
        <w:rPr>
          <w:rFonts w:ascii="Arial" w:hAnsi="Arial"/>
          <w:b/>
          <w:bCs/>
          <w:color w:val="1F3864" w:themeColor="accent1" w:themeShade="80"/>
          <w:sz w:val="20"/>
          <w:szCs w:val="20"/>
        </w:rPr>
        <w:t xml:space="preserve">Raziskava Evropske investicijske banke (EIB) je pokazala, zakaj je smiselno podpirati podjetnice </w:t>
      </w:r>
    </w:p>
    <w:p w14:paraId="1C250AB4" w14:textId="77777777" w:rsidR="00DF1060" w:rsidRPr="0031185F" w:rsidRDefault="00DF1060" w:rsidP="00DF1060">
      <w:pPr>
        <w:jc w:val="both"/>
        <w:rPr>
          <w:rFonts w:ascii="Arial" w:hAnsi="Arial"/>
          <w:color w:val="1F3864" w:themeColor="accent1" w:themeShade="80"/>
          <w:sz w:val="20"/>
          <w:szCs w:val="20"/>
        </w:rPr>
      </w:pPr>
    </w:p>
    <w:p w14:paraId="54186CE9" w14:textId="77777777" w:rsidR="00DF1060" w:rsidRPr="0031185F" w:rsidRDefault="00DF1060" w:rsidP="00DF1060">
      <w:pPr>
        <w:jc w:val="both"/>
        <w:rPr>
          <w:rFonts w:ascii="Arial" w:hAnsi="Arial"/>
          <w:color w:val="1F3864" w:themeColor="accent1" w:themeShade="80"/>
          <w:sz w:val="20"/>
          <w:szCs w:val="20"/>
        </w:rPr>
      </w:pPr>
      <w:r w:rsidRPr="0031185F">
        <w:rPr>
          <w:rFonts w:ascii="Arial" w:hAnsi="Arial"/>
          <w:color w:val="1F3864" w:themeColor="accent1" w:themeShade="80"/>
          <w:sz w:val="20"/>
          <w:szCs w:val="20"/>
        </w:rPr>
        <w:t>Raziskava Evropske investicijske banke (EIB) je pokazala, da je v Evropi podjetnice smiselno podpirati tudi zaradi tega, ker so podjetja, ki jih vodijo, bolj proaktivna na okoljskem in socialnem področju ter pogosteje izboljšujejo znanje zaposlenih z vlaganji v usposabljanje.</w:t>
      </w:r>
    </w:p>
    <w:p w14:paraId="48171876" w14:textId="77777777" w:rsidR="00DF1060" w:rsidRPr="0031185F" w:rsidRDefault="00DF1060" w:rsidP="00DF1060">
      <w:pPr>
        <w:jc w:val="both"/>
        <w:rPr>
          <w:rFonts w:ascii="Arial" w:hAnsi="Arial"/>
          <w:color w:val="1F3864" w:themeColor="accent1" w:themeShade="80"/>
          <w:sz w:val="20"/>
          <w:szCs w:val="20"/>
        </w:rPr>
      </w:pPr>
    </w:p>
    <w:p w14:paraId="39123D56" w14:textId="77777777" w:rsidR="00DF1060" w:rsidRPr="0031185F" w:rsidRDefault="00DF1060" w:rsidP="00DF1060">
      <w:pPr>
        <w:jc w:val="both"/>
        <w:rPr>
          <w:rFonts w:ascii="Arial" w:hAnsi="Arial"/>
          <w:color w:val="1F3864" w:themeColor="accent1" w:themeShade="80"/>
          <w:sz w:val="20"/>
          <w:szCs w:val="20"/>
        </w:rPr>
      </w:pPr>
      <w:r w:rsidRPr="0031185F">
        <w:rPr>
          <w:rFonts w:ascii="Arial" w:hAnsi="Arial"/>
          <w:color w:val="1F3864" w:themeColor="accent1" w:themeShade="80"/>
          <w:sz w:val="20"/>
          <w:szCs w:val="20"/>
        </w:rPr>
        <w:t>Več:</w:t>
      </w:r>
    </w:p>
    <w:p w14:paraId="0BC7D740" w14:textId="77777777" w:rsidR="00DF1060" w:rsidRPr="006F7FBF" w:rsidRDefault="00000000" w:rsidP="00DF1060">
      <w:pPr>
        <w:jc w:val="both"/>
        <w:rPr>
          <w:rFonts w:ascii="Arial" w:hAnsi="Arial"/>
          <w:color w:val="FFC000"/>
          <w:sz w:val="20"/>
          <w:szCs w:val="20"/>
        </w:rPr>
      </w:pPr>
      <w:hyperlink r:id="rId9" w:history="1">
        <w:r w:rsidR="00DF1060" w:rsidRPr="006F7FBF">
          <w:rPr>
            <w:rStyle w:val="Hyperlink"/>
            <w:rFonts w:ascii="Arial" w:hAnsi="Arial"/>
            <w:color w:val="FFC000"/>
            <w:sz w:val="20"/>
            <w:szCs w:val="20"/>
          </w:rPr>
          <w:t>Raziskava</w:t>
        </w:r>
      </w:hyperlink>
    </w:p>
    <w:p w14:paraId="2F123C64" w14:textId="405A5A09" w:rsidR="0019409A" w:rsidRDefault="0019409A"/>
    <w:p w14:paraId="653CDB71" w14:textId="31346B84" w:rsidR="004C79CF" w:rsidRDefault="004C79CF"/>
    <w:p w14:paraId="430D6A9D" w14:textId="56F3A62E" w:rsidR="004F3FBD" w:rsidRDefault="004F3FBD">
      <w:r>
        <w:rPr>
          <w:noProof/>
        </w:rPr>
        <w:drawing>
          <wp:inline distT="0" distB="0" distL="0" distR="0" wp14:anchorId="1611B458" wp14:editId="0DE7B6CB">
            <wp:extent cx="2614479"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4938" cy="1047934"/>
                    </a:xfrm>
                    <a:prstGeom prst="rect">
                      <a:avLst/>
                    </a:prstGeom>
                    <a:noFill/>
                    <a:ln>
                      <a:noFill/>
                    </a:ln>
                  </pic:spPr>
                </pic:pic>
              </a:graphicData>
            </a:graphic>
          </wp:inline>
        </w:drawing>
      </w:r>
    </w:p>
    <w:p w14:paraId="5FFB2AFD" w14:textId="77777777" w:rsidR="004C79CF" w:rsidRPr="0031185F" w:rsidRDefault="004C79CF" w:rsidP="004C79CF">
      <w:pPr>
        <w:jc w:val="both"/>
        <w:rPr>
          <w:rFonts w:ascii="Arial" w:hAnsi="Arial"/>
          <w:b/>
          <w:bCs/>
          <w:color w:val="1F3864" w:themeColor="accent1" w:themeShade="80"/>
          <w:sz w:val="20"/>
          <w:szCs w:val="20"/>
        </w:rPr>
      </w:pPr>
      <w:r w:rsidRPr="0031185F">
        <w:rPr>
          <w:rFonts w:ascii="Arial" w:hAnsi="Arial"/>
          <w:b/>
          <w:bCs/>
          <w:color w:val="1F3864" w:themeColor="accent1" w:themeShade="80"/>
          <w:sz w:val="20"/>
          <w:szCs w:val="20"/>
        </w:rPr>
        <w:t>Nova pravila za povečanje preglednosti na področju najemov nastanitve za krajši čas</w:t>
      </w:r>
    </w:p>
    <w:p w14:paraId="41AD17F5" w14:textId="77777777" w:rsidR="004C79CF" w:rsidRPr="0031185F" w:rsidRDefault="004C79CF" w:rsidP="004C79CF">
      <w:pPr>
        <w:jc w:val="both"/>
        <w:rPr>
          <w:rFonts w:ascii="Arial" w:hAnsi="Arial"/>
          <w:color w:val="1F3864" w:themeColor="accent1" w:themeShade="80"/>
          <w:sz w:val="20"/>
          <w:szCs w:val="20"/>
        </w:rPr>
      </w:pPr>
    </w:p>
    <w:p w14:paraId="287CE8FF" w14:textId="77777777" w:rsidR="004C79CF" w:rsidRPr="0031185F" w:rsidRDefault="004C79CF" w:rsidP="004C79CF">
      <w:pPr>
        <w:jc w:val="both"/>
        <w:rPr>
          <w:rFonts w:ascii="Arial" w:hAnsi="Arial"/>
          <w:color w:val="1F3864" w:themeColor="accent1" w:themeShade="80"/>
          <w:sz w:val="20"/>
          <w:szCs w:val="20"/>
        </w:rPr>
      </w:pPr>
      <w:r w:rsidRPr="0031185F">
        <w:rPr>
          <w:rFonts w:ascii="Arial" w:hAnsi="Arial"/>
          <w:color w:val="1F3864" w:themeColor="accent1" w:themeShade="80"/>
          <w:sz w:val="20"/>
          <w:szCs w:val="20"/>
        </w:rPr>
        <w:t xml:space="preserve">Evropska komisija je predstavila nova pravila za povečanje preglednosti na področju najemov nastanitve za krajši čas in pomoč javnim organom pri zagotavljanju njihovega uravnoteženega razvoja kot del trajnostnega turističnega sektorja. Predlog uredbe predvideva uskladitev zahtev glede registracije gostiteljev in njihovih nepremičnin za najem, ko bodo nacionalni organi uvedli te zahteve. </w:t>
      </w:r>
    </w:p>
    <w:p w14:paraId="5B03540E" w14:textId="77777777" w:rsidR="004C79CF" w:rsidRPr="0031185F" w:rsidRDefault="004C79CF" w:rsidP="004C79CF">
      <w:pPr>
        <w:jc w:val="both"/>
        <w:rPr>
          <w:rFonts w:ascii="Arial" w:hAnsi="Arial"/>
          <w:color w:val="1F3864" w:themeColor="accent1" w:themeShade="80"/>
          <w:sz w:val="20"/>
          <w:szCs w:val="20"/>
        </w:rPr>
      </w:pPr>
    </w:p>
    <w:p w14:paraId="29BC79A0" w14:textId="77777777" w:rsidR="004C79CF" w:rsidRPr="0031185F" w:rsidRDefault="004C79CF" w:rsidP="004C79CF">
      <w:pPr>
        <w:jc w:val="both"/>
        <w:rPr>
          <w:rFonts w:ascii="Arial" w:hAnsi="Arial"/>
          <w:color w:val="1F3864" w:themeColor="accent1" w:themeShade="80"/>
          <w:sz w:val="20"/>
          <w:szCs w:val="20"/>
        </w:rPr>
      </w:pPr>
      <w:r w:rsidRPr="0031185F">
        <w:rPr>
          <w:rFonts w:ascii="Arial" w:hAnsi="Arial"/>
          <w:color w:val="1F3864" w:themeColor="accent1" w:themeShade="80"/>
          <w:sz w:val="20"/>
          <w:szCs w:val="20"/>
        </w:rPr>
        <w:t>Več:</w:t>
      </w:r>
    </w:p>
    <w:p w14:paraId="3E92AF1D" w14:textId="311DA0B3" w:rsidR="004C79CF" w:rsidRPr="006F7FBF" w:rsidRDefault="00000000" w:rsidP="004C79CF">
      <w:pPr>
        <w:jc w:val="both"/>
        <w:rPr>
          <w:rStyle w:val="Hyperlink"/>
          <w:rFonts w:ascii="Arial" w:hAnsi="Arial"/>
          <w:color w:val="FFC000"/>
          <w:sz w:val="20"/>
          <w:szCs w:val="20"/>
        </w:rPr>
      </w:pPr>
      <w:hyperlink r:id="rId11" w:history="1">
        <w:r w:rsidR="004C79CF" w:rsidRPr="006F7FBF">
          <w:rPr>
            <w:rStyle w:val="Hyperlink"/>
            <w:rFonts w:ascii="Arial" w:hAnsi="Arial"/>
            <w:color w:val="FFC000"/>
            <w:sz w:val="20"/>
            <w:szCs w:val="20"/>
          </w:rPr>
          <w:t>Predlog uredbe</w:t>
        </w:r>
      </w:hyperlink>
    </w:p>
    <w:p w14:paraId="58AAB351" w14:textId="77777777" w:rsidR="004C79CF" w:rsidRPr="00055D04" w:rsidRDefault="004C79CF" w:rsidP="004C79CF">
      <w:pPr>
        <w:jc w:val="both"/>
        <w:rPr>
          <w:rFonts w:ascii="Arial" w:hAnsi="Arial"/>
          <w:sz w:val="20"/>
          <w:szCs w:val="20"/>
        </w:rPr>
      </w:pPr>
    </w:p>
    <w:p w14:paraId="1C54CA06" w14:textId="73029732" w:rsidR="004C79CF" w:rsidRDefault="004C79CF" w:rsidP="004C79CF">
      <w:pPr>
        <w:jc w:val="both"/>
        <w:rPr>
          <w:rFonts w:ascii="Arial" w:hAnsi="Arial"/>
          <w:sz w:val="20"/>
          <w:szCs w:val="20"/>
        </w:rPr>
      </w:pPr>
    </w:p>
    <w:p w14:paraId="456F5026" w14:textId="3EEF21C0" w:rsidR="00B14299" w:rsidRPr="00055D04" w:rsidRDefault="00B14299" w:rsidP="004C79CF">
      <w:pPr>
        <w:jc w:val="both"/>
        <w:rPr>
          <w:rFonts w:ascii="Arial" w:hAnsi="Arial"/>
          <w:sz w:val="20"/>
          <w:szCs w:val="20"/>
        </w:rPr>
      </w:pPr>
      <w:r>
        <w:rPr>
          <w:rFonts w:ascii="Arial" w:hAnsi="Arial"/>
          <w:noProof/>
          <w:sz w:val="20"/>
          <w:szCs w:val="20"/>
        </w:rPr>
        <w:drawing>
          <wp:inline distT="0" distB="0" distL="0" distR="0" wp14:anchorId="4F8605E9" wp14:editId="03A2659D">
            <wp:extent cx="2638247" cy="1057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9631" cy="1057830"/>
                    </a:xfrm>
                    <a:prstGeom prst="rect">
                      <a:avLst/>
                    </a:prstGeom>
                    <a:noFill/>
                    <a:ln>
                      <a:noFill/>
                    </a:ln>
                  </pic:spPr>
                </pic:pic>
              </a:graphicData>
            </a:graphic>
          </wp:inline>
        </w:drawing>
      </w:r>
    </w:p>
    <w:p w14:paraId="7BD6FD86" w14:textId="77777777" w:rsidR="004C79CF" w:rsidRPr="0031185F" w:rsidRDefault="004C79CF" w:rsidP="004C79CF">
      <w:pPr>
        <w:jc w:val="both"/>
        <w:rPr>
          <w:rFonts w:ascii="Arial" w:hAnsi="Arial"/>
          <w:b/>
          <w:bCs/>
          <w:color w:val="1F3864" w:themeColor="accent1" w:themeShade="80"/>
          <w:sz w:val="20"/>
          <w:szCs w:val="20"/>
        </w:rPr>
      </w:pPr>
      <w:r w:rsidRPr="0031185F">
        <w:rPr>
          <w:rFonts w:ascii="Arial" w:hAnsi="Arial"/>
          <w:b/>
          <w:bCs/>
          <w:color w:val="1F3864" w:themeColor="accent1" w:themeShade="80"/>
          <w:sz w:val="20"/>
          <w:szCs w:val="20"/>
        </w:rPr>
        <w:t>Nove smernice za prenovljen okvir gospodarskega upravljanja EU</w:t>
      </w:r>
    </w:p>
    <w:p w14:paraId="01C90A79" w14:textId="77777777" w:rsidR="004C79CF" w:rsidRPr="0031185F" w:rsidRDefault="004C79CF" w:rsidP="004C79CF">
      <w:pPr>
        <w:jc w:val="both"/>
        <w:rPr>
          <w:rFonts w:ascii="Arial" w:hAnsi="Arial"/>
          <w:color w:val="1F3864" w:themeColor="accent1" w:themeShade="80"/>
          <w:sz w:val="20"/>
          <w:szCs w:val="20"/>
        </w:rPr>
      </w:pPr>
    </w:p>
    <w:p w14:paraId="18A38320" w14:textId="77777777" w:rsidR="004C79CF" w:rsidRPr="0031185F" w:rsidRDefault="004C79CF" w:rsidP="004C79CF">
      <w:pPr>
        <w:jc w:val="both"/>
        <w:rPr>
          <w:rFonts w:ascii="Arial" w:hAnsi="Arial"/>
          <w:color w:val="1F3864" w:themeColor="accent1" w:themeShade="80"/>
          <w:sz w:val="20"/>
          <w:szCs w:val="20"/>
        </w:rPr>
      </w:pPr>
      <w:r w:rsidRPr="0031185F">
        <w:rPr>
          <w:rFonts w:ascii="Arial" w:hAnsi="Arial"/>
          <w:color w:val="1F3864" w:themeColor="accent1" w:themeShade="80"/>
          <w:sz w:val="20"/>
          <w:szCs w:val="20"/>
        </w:rPr>
        <w:t xml:space="preserve">Evropska komisija je predstavila nove smernice za prenovljen okvir gospodarskega upravljanja EU. Temelj novega predloga so nacionalni srednjeročni fiskalno-strukturni načrti, ki bi vsebovali fiskalne, reformne in naložbene cilje. Države članice bi imele več manevrskega prostora pri določanju fiskalnega prilagajanja, </w:t>
      </w:r>
      <w:r w:rsidRPr="0031185F">
        <w:rPr>
          <w:rFonts w:ascii="Arial" w:hAnsi="Arial"/>
          <w:color w:val="1F3864" w:themeColor="accent1" w:themeShade="80"/>
          <w:sz w:val="20"/>
          <w:szCs w:val="20"/>
        </w:rPr>
        <w:lastRenderedPageBreak/>
        <w:t>kar bi okrepilo nacionalno odgovornost za njihove fiskalne usmeritve. </w:t>
      </w:r>
    </w:p>
    <w:p w14:paraId="5713E3F9" w14:textId="790E89AC" w:rsidR="004C79CF" w:rsidRPr="0031185F" w:rsidRDefault="004C79CF" w:rsidP="004C79CF">
      <w:pPr>
        <w:jc w:val="both"/>
        <w:rPr>
          <w:rFonts w:ascii="Arial" w:hAnsi="Arial"/>
          <w:color w:val="1F3864" w:themeColor="accent1" w:themeShade="80"/>
          <w:sz w:val="20"/>
          <w:szCs w:val="20"/>
        </w:rPr>
      </w:pPr>
    </w:p>
    <w:p w14:paraId="12D78A84" w14:textId="77777777" w:rsidR="00E342B3" w:rsidRPr="0031185F" w:rsidRDefault="00E342B3" w:rsidP="00E342B3">
      <w:pPr>
        <w:jc w:val="both"/>
        <w:rPr>
          <w:rFonts w:ascii="Arial" w:hAnsi="Arial"/>
          <w:color w:val="1F3864" w:themeColor="accent1" w:themeShade="80"/>
          <w:sz w:val="20"/>
          <w:szCs w:val="20"/>
        </w:rPr>
      </w:pPr>
      <w:r w:rsidRPr="0031185F">
        <w:rPr>
          <w:rFonts w:ascii="Arial" w:hAnsi="Arial"/>
          <w:color w:val="1F3864" w:themeColor="accent1" w:themeShade="80"/>
          <w:sz w:val="20"/>
          <w:szCs w:val="20"/>
        </w:rPr>
        <w:t>Več:</w:t>
      </w:r>
    </w:p>
    <w:p w14:paraId="71E9B5B4" w14:textId="77777777" w:rsidR="00E342B3" w:rsidRPr="006F7FBF" w:rsidRDefault="00E342B3" w:rsidP="00E342B3">
      <w:pPr>
        <w:jc w:val="both"/>
        <w:rPr>
          <w:rStyle w:val="Hyperlink"/>
          <w:rFonts w:ascii="Arial" w:hAnsi="Arial"/>
          <w:color w:val="FFC000"/>
          <w:sz w:val="20"/>
          <w:szCs w:val="20"/>
        </w:rPr>
      </w:pPr>
      <w:r w:rsidRPr="00055D04">
        <w:rPr>
          <w:rFonts w:ascii="Arial" w:hAnsi="Arial"/>
          <w:sz w:val="20"/>
          <w:szCs w:val="20"/>
        </w:rPr>
        <w:fldChar w:fldCharType="begin"/>
      </w:r>
      <w:r w:rsidRPr="00055D04">
        <w:rPr>
          <w:rFonts w:ascii="Arial" w:hAnsi="Arial"/>
          <w:sz w:val="20"/>
          <w:szCs w:val="20"/>
        </w:rPr>
        <w:instrText xml:space="preserve"> HYPERLINK "https://economy-finance.ec.europa.eu/economic-and-fiscal-governance/economic-governance-review_sl" </w:instrText>
      </w:r>
      <w:r w:rsidRPr="00055D04">
        <w:rPr>
          <w:rFonts w:ascii="Arial" w:hAnsi="Arial"/>
          <w:sz w:val="20"/>
          <w:szCs w:val="20"/>
        </w:rPr>
      </w:r>
      <w:r w:rsidRPr="00055D04">
        <w:rPr>
          <w:rFonts w:ascii="Arial" w:hAnsi="Arial"/>
          <w:sz w:val="20"/>
          <w:szCs w:val="20"/>
        </w:rPr>
        <w:fldChar w:fldCharType="separate"/>
      </w:r>
      <w:r w:rsidRPr="006F7FBF">
        <w:rPr>
          <w:rStyle w:val="Hyperlink"/>
          <w:rFonts w:ascii="Arial" w:hAnsi="Arial"/>
          <w:color w:val="FFC000"/>
          <w:sz w:val="20"/>
          <w:szCs w:val="20"/>
        </w:rPr>
        <w:t>Spletna stran z informacijami o predlogu</w:t>
      </w:r>
    </w:p>
    <w:p w14:paraId="3232BFF7" w14:textId="2DECACBC" w:rsidR="004C79CF" w:rsidRDefault="00E342B3" w:rsidP="00E342B3">
      <w:r w:rsidRPr="00055D04">
        <w:rPr>
          <w:rFonts w:ascii="Arial" w:hAnsi="Arial"/>
          <w:sz w:val="20"/>
          <w:szCs w:val="20"/>
        </w:rPr>
        <w:fldChar w:fldCharType="end"/>
      </w:r>
    </w:p>
    <w:p w14:paraId="38A5DC73" w14:textId="6ED00385" w:rsidR="00E342B3" w:rsidRDefault="00E342B3"/>
    <w:p w14:paraId="3D2407C4" w14:textId="52DC9734" w:rsidR="00E54EC9" w:rsidRDefault="00E54EC9">
      <w:r>
        <w:rPr>
          <w:noProof/>
        </w:rPr>
        <w:drawing>
          <wp:inline distT="0" distB="0" distL="0" distR="0" wp14:anchorId="22B69F0B" wp14:editId="4AE894FC">
            <wp:extent cx="2600325" cy="1042078"/>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2179" cy="1042821"/>
                    </a:xfrm>
                    <a:prstGeom prst="rect">
                      <a:avLst/>
                    </a:prstGeom>
                    <a:noFill/>
                    <a:ln>
                      <a:noFill/>
                    </a:ln>
                  </pic:spPr>
                </pic:pic>
              </a:graphicData>
            </a:graphic>
          </wp:inline>
        </w:drawing>
      </w:r>
    </w:p>
    <w:p w14:paraId="41A85506" w14:textId="77777777" w:rsidR="00E342B3" w:rsidRPr="0031185F" w:rsidRDefault="00E342B3" w:rsidP="00E342B3">
      <w:pPr>
        <w:jc w:val="both"/>
        <w:rPr>
          <w:rFonts w:ascii="Arial" w:hAnsi="Arial"/>
          <w:b/>
          <w:bCs/>
          <w:color w:val="1F3864" w:themeColor="accent1" w:themeShade="80"/>
          <w:sz w:val="20"/>
          <w:szCs w:val="20"/>
        </w:rPr>
      </w:pPr>
      <w:r w:rsidRPr="0031185F">
        <w:rPr>
          <w:rFonts w:ascii="Arial" w:hAnsi="Arial"/>
          <w:b/>
          <w:bCs/>
          <w:color w:val="1F3864" w:themeColor="accent1" w:themeShade="80"/>
          <w:sz w:val="20"/>
          <w:szCs w:val="20"/>
        </w:rPr>
        <w:t>Javno posvetovanje o spremenjenem obvestilu o opredelitvi trga</w:t>
      </w:r>
    </w:p>
    <w:p w14:paraId="71D291BB" w14:textId="77777777" w:rsidR="00E342B3" w:rsidRPr="0031185F" w:rsidRDefault="00E342B3" w:rsidP="00E342B3">
      <w:pPr>
        <w:jc w:val="both"/>
        <w:rPr>
          <w:rFonts w:ascii="Arial" w:hAnsi="Arial"/>
          <w:color w:val="1F3864" w:themeColor="accent1" w:themeShade="80"/>
          <w:sz w:val="20"/>
          <w:szCs w:val="20"/>
        </w:rPr>
      </w:pPr>
    </w:p>
    <w:p w14:paraId="362DA8DF" w14:textId="77777777" w:rsidR="00E342B3" w:rsidRPr="0031185F" w:rsidRDefault="00E342B3" w:rsidP="00E342B3">
      <w:pPr>
        <w:jc w:val="both"/>
        <w:rPr>
          <w:rFonts w:ascii="Arial" w:hAnsi="Arial"/>
          <w:color w:val="1F3864" w:themeColor="accent1" w:themeShade="80"/>
          <w:sz w:val="20"/>
          <w:szCs w:val="20"/>
        </w:rPr>
      </w:pPr>
      <w:r w:rsidRPr="0031185F">
        <w:rPr>
          <w:rFonts w:ascii="Arial" w:hAnsi="Arial"/>
          <w:color w:val="1F3864" w:themeColor="accent1" w:themeShade="80"/>
          <w:sz w:val="20"/>
          <w:szCs w:val="20"/>
        </w:rPr>
        <w:t xml:space="preserve">Evropska komisija prek javnega posvetovanja do 13. januarja 2023 zbira mnenja in pripombe na na osnutek spremenjenega obvestila o opredelitvi trga.  </w:t>
      </w:r>
    </w:p>
    <w:p w14:paraId="10B44942" w14:textId="77777777" w:rsidR="00E342B3" w:rsidRPr="0031185F" w:rsidRDefault="00E342B3" w:rsidP="00E342B3">
      <w:pPr>
        <w:jc w:val="both"/>
        <w:rPr>
          <w:rFonts w:ascii="Arial" w:hAnsi="Arial"/>
          <w:color w:val="1F3864" w:themeColor="accent1" w:themeShade="80"/>
          <w:sz w:val="20"/>
          <w:szCs w:val="20"/>
        </w:rPr>
      </w:pPr>
    </w:p>
    <w:p w14:paraId="6F6B1F12" w14:textId="77777777" w:rsidR="00E342B3" w:rsidRPr="0031185F" w:rsidRDefault="00E342B3" w:rsidP="00E342B3">
      <w:pPr>
        <w:jc w:val="both"/>
        <w:rPr>
          <w:rFonts w:ascii="Arial" w:hAnsi="Arial"/>
          <w:color w:val="1F3864" w:themeColor="accent1" w:themeShade="80"/>
          <w:sz w:val="20"/>
          <w:szCs w:val="20"/>
        </w:rPr>
      </w:pPr>
      <w:r w:rsidRPr="0031185F">
        <w:rPr>
          <w:rFonts w:ascii="Arial" w:hAnsi="Arial"/>
          <w:color w:val="1F3864" w:themeColor="accent1" w:themeShade="80"/>
          <w:sz w:val="20"/>
          <w:szCs w:val="20"/>
        </w:rPr>
        <w:t>Več:</w:t>
      </w:r>
    </w:p>
    <w:p w14:paraId="7B93FB48" w14:textId="77777777" w:rsidR="00E342B3" w:rsidRPr="006F7FBF" w:rsidRDefault="00000000" w:rsidP="00E342B3">
      <w:pPr>
        <w:jc w:val="both"/>
        <w:rPr>
          <w:rFonts w:ascii="Arial" w:hAnsi="Arial"/>
          <w:color w:val="FFC000"/>
          <w:sz w:val="20"/>
          <w:szCs w:val="20"/>
        </w:rPr>
      </w:pPr>
      <w:hyperlink r:id="rId14" w:history="1">
        <w:r w:rsidR="00E342B3" w:rsidRPr="006F7FBF">
          <w:rPr>
            <w:rStyle w:val="Hyperlink"/>
            <w:rFonts w:ascii="Arial" w:hAnsi="Arial"/>
            <w:color w:val="FFC000"/>
            <w:sz w:val="20"/>
            <w:szCs w:val="20"/>
          </w:rPr>
          <w:t>Posvetovanje</w:t>
        </w:r>
      </w:hyperlink>
    </w:p>
    <w:p w14:paraId="771C0232" w14:textId="18EF0BB7" w:rsidR="00E342B3" w:rsidRDefault="00E342B3" w:rsidP="00E342B3">
      <w:pPr>
        <w:jc w:val="both"/>
        <w:rPr>
          <w:rFonts w:ascii="Arial" w:hAnsi="Arial"/>
          <w:sz w:val="20"/>
          <w:szCs w:val="20"/>
        </w:rPr>
      </w:pPr>
    </w:p>
    <w:p w14:paraId="25A12F98" w14:textId="6C27D447" w:rsidR="0020784B" w:rsidRDefault="0020784B" w:rsidP="00E342B3">
      <w:pPr>
        <w:jc w:val="both"/>
        <w:rPr>
          <w:rFonts w:ascii="Arial" w:hAnsi="Arial"/>
          <w:sz w:val="20"/>
          <w:szCs w:val="20"/>
        </w:rPr>
      </w:pPr>
    </w:p>
    <w:p w14:paraId="4F0795DD" w14:textId="065F7501" w:rsidR="00683D1B" w:rsidRPr="00055D04" w:rsidRDefault="00683D1B" w:rsidP="00E342B3">
      <w:pPr>
        <w:jc w:val="both"/>
        <w:rPr>
          <w:rFonts w:ascii="Arial" w:hAnsi="Arial"/>
          <w:sz w:val="20"/>
          <w:szCs w:val="20"/>
        </w:rPr>
      </w:pPr>
      <w:r>
        <w:rPr>
          <w:rFonts w:ascii="Arial" w:hAnsi="Arial"/>
          <w:noProof/>
          <w:sz w:val="20"/>
          <w:szCs w:val="20"/>
        </w:rPr>
        <w:drawing>
          <wp:inline distT="0" distB="0" distL="0" distR="0" wp14:anchorId="499C126F" wp14:editId="6ED8F0C0">
            <wp:extent cx="2614479"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4663" cy="1047824"/>
                    </a:xfrm>
                    <a:prstGeom prst="rect">
                      <a:avLst/>
                    </a:prstGeom>
                    <a:noFill/>
                    <a:ln>
                      <a:noFill/>
                    </a:ln>
                  </pic:spPr>
                </pic:pic>
              </a:graphicData>
            </a:graphic>
          </wp:inline>
        </w:drawing>
      </w:r>
    </w:p>
    <w:p w14:paraId="088D40E9" w14:textId="77777777" w:rsidR="00E342B3" w:rsidRPr="0031185F" w:rsidRDefault="00E342B3" w:rsidP="00E342B3">
      <w:pPr>
        <w:jc w:val="both"/>
        <w:rPr>
          <w:rFonts w:ascii="Arial" w:hAnsi="Arial"/>
          <w:b/>
          <w:bCs/>
          <w:color w:val="1F3864" w:themeColor="accent1" w:themeShade="80"/>
          <w:sz w:val="20"/>
          <w:szCs w:val="20"/>
        </w:rPr>
      </w:pPr>
      <w:r w:rsidRPr="0031185F">
        <w:rPr>
          <w:rFonts w:ascii="Arial" w:hAnsi="Arial"/>
          <w:b/>
          <w:bCs/>
          <w:color w:val="1F3864" w:themeColor="accent1" w:themeShade="80"/>
          <w:sz w:val="20"/>
          <w:szCs w:val="20"/>
        </w:rPr>
        <w:t xml:space="preserve">Kranj bo v letu 2023 Evropska destinacija odličnosti (EDEN) </w:t>
      </w:r>
    </w:p>
    <w:p w14:paraId="2DFFF127" w14:textId="77777777" w:rsidR="00E342B3" w:rsidRPr="0031185F" w:rsidRDefault="00E342B3" w:rsidP="00E342B3">
      <w:pPr>
        <w:jc w:val="both"/>
        <w:rPr>
          <w:rFonts w:ascii="Arial" w:hAnsi="Arial"/>
          <w:color w:val="1F3864" w:themeColor="accent1" w:themeShade="80"/>
          <w:sz w:val="20"/>
          <w:szCs w:val="20"/>
        </w:rPr>
      </w:pPr>
    </w:p>
    <w:p w14:paraId="4ED33C16" w14:textId="77777777" w:rsidR="00E342B3" w:rsidRPr="0031185F" w:rsidRDefault="00E342B3" w:rsidP="00E342B3">
      <w:pPr>
        <w:jc w:val="both"/>
        <w:rPr>
          <w:rFonts w:ascii="Arial" w:hAnsi="Arial"/>
          <w:color w:val="1F3864" w:themeColor="accent1" w:themeShade="80"/>
          <w:sz w:val="20"/>
          <w:szCs w:val="20"/>
        </w:rPr>
      </w:pPr>
      <w:r w:rsidRPr="0031185F">
        <w:rPr>
          <w:rFonts w:ascii="Arial" w:hAnsi="Arial"/>
          <w:color w:val="1F3864" w:themeColor="accent1" w:themeShade="80"/>
          <w:sz w:val="20"/>
          <w:szCs w:val="20"/>
        </w:rPr>
        <w:t>Kranj bo v letu 2023 Evropska destinacija odličnosti, na podlagi tega naziva bo promoviran kot zgled za trajnostne turistične prakse v Evropi. Vse leto bo deležen tudi podpore za promocijo najboljših praks na področju trajnostnega turizma v skladu s cilji evropskega zelenega dogovora. Pafos (Ciper) in Sevilla (Španija) sta zmagovalca natečaja EU za Evropsko prestolnico pametnega turizma 2023.</w:t>
      </w:r>
    </w:p>
    <w:p w14:paraId="18B4E672" w14:textId="77777777" w:rsidR="00E342B3" w:rsidRPr="0031185F" w:rsidRDefault="00E342B3" w:rsidP="00E342B3">
      <w:pPr>
        <w:jc w:val="both"/>
        <w:rPr>
          <w:rFonts w:ascii="Arial" w:hAnsi="Arial"/>
          <w:color w:val="1F3864" w:themeColor="accent1" w:themeShade="80"/>
          <w:sz w:val="20"/>
          <w:szCs w:val="20"/>
        </w:rPr>
      </w:pPr>
    </w:p>
    <w:p w14:paraId="6EF95DB5" w14:textId="77777777" w:rsidR="00E342B3" w:rsidRPr="0031185F" w:rsidRDefault="00E342B3" w:rsidP="00E342B3">
      <w:pPr>
        <w:jc w:val="both"/>
        <w:rPr>
          <w:rFonts w:ascii="Arial" w:hAnsi="Arial"/>
          <w:color w:val="1F3864" w:themeColor="accent1" w:themeShade="80"/>
          <w:sz w:val="20"/>
          <w:szCs w:val="20"/>
        </w:rPr>
      </w:pPr>
      <w:r w:rsidRPr="0031185F">
        <w:rPr>
          <w:rFonts w:ascii="Arial" w:hAnsi="Arial"/>
          <w:color w:val="1F3864" w:themeColor="accent1" w:themeShade="80"/>
          <w:sz w:val="20"/>
          <w:szCs w:val="20"/>
        </w:rPr>
        <w:t>Več:</w:t>
      </w:r>
    </w:p>
    <w:p w14:paraId="6F8CCEBB" w14:textId="77777777" w:rsidR="00E342B3" w:rsidRPr="006F7FBF" w:rsidRDefault="00000000" w:rsidP="00E342B3">
      <w:pPr>
        <w:jc w:val="both"/>
        <w:rPr>
          <w:rFonts w:ascii="Arial" w:hAnsi="Arial"/>
          <w:color w:val="FFC000"/>
          <w:sz w:val="20"/>
          <w:szCs w:val="20"/>
        </w:rPr>
      </w:pPr>
      <w:hyperlink r:id="rId16" w:history="1">
        <w:r w:rsidR="00E342B3" w:rsidRPr="006F7FBF">
          <w:rPr>
            <w:rStyle w:val="Hyperlink"/>
            <w:rFonts w:ascii="Arial" w:hAnsi="Arial"/>
            <w:color w:val="FFC000"/>
            <w:sz w:val="20"/>
            <w:szCs w:val="20"/>
          </w:rPr>
          <w:t>Spletna stran z informacijami o Evropski prestolnici pametnega turizma</w:t>
        </w:r>
      </w:hyperlink>
    </w:p>
    <w:p w14:paraId="07E3BE05" w14:textId="77777777" w:rsidR="00E342B3" w:rsidRPr="0031185F" w:rsidRDefault="00E342B3" w:rsidP="00E342B3">
      <w:pPr>
        <w:jc w:val="both"/>
        <w:rPr>
          <w:rFonts w:ascii="Arial" w:hAnsi="Arial"/>
          <w:color w:val="1F3864" w:themeColor="accent1" w:themeShade="80"/>
          <w:sz w:val="20"/>
          <w:szCs w:val="20"/>
        </w:rPr>
      </w:pPr>
      <w:r w:rsidRPr="0031185F">
        <w:rPr>
          <w:rFonts w:ascii="Arial" w:hAnsi="Arial"/>
          <w:color w:val="1F3864" w:themeColor="accent1" w:themeShade="80"/>
          <w:sz w:val="20"/>
          <w:szCs w:val="20"/>
        </w:rPr>
        <w:t>in</w:t>
      </w:r>
    </w:p>
    <w:p w14:paraId="46FD7073" w14:textId="77777777" w:rsidR="00E342B3" w:rsidRPr="006F7FBF" w:rsidRDefault="00000000" w:rsidP="00E342B3">
      <w:pPr>
        <w:jc w:val="both"/>
        <w:rPr>
          <w:rFonts w:ascii="Arial" w:hAnsi="Arial"/>
          <w:color w:val="FFC000"/>
          <w:sz w:val="20"/>
          <w:szCs w:val="20"/>
        </w:rPr>
      </w:pPr>
      <w:hyperlink r:id="rId17" w:history="1">
        <w:r w:rsidR="00E342B3" w:rsidRPr="006F7FBF">
          <w:rPr>
            <w:rStyle w:val="Hyperlink"/>
            <w:rFonts w:ascii="Arial" w:hAnsi="Arial"/>
            <w:color w:val="FFC000"/>
            <w:sz w:val="20"/>
            <w:szCs w:val="20"/>
          </w:rPr>
          <w:t>Spletna stran z informacijami o nazivu Evropska destinacija odličnosti</w:t>
        </w:r>
      </w:hyperlink>
    </w:p>
    <w:p w14:paraId="03CFD32F" w14:textId="77777777" w:rsidR="00E342B3" w:rsidRPr="00055D04" w:rsidRDefault="00E342B3" w:rsidP="00E342B3">
      <w:pPr>
        <w:jc w:val="both"/>
        <w:rPr>
          <w:rFonts w:ascii="Arial" w:hAnsi="Arial"/>
          <w:sz w:val="20"/>
          <w:szCs w:val="20"/>
        </w:rPr>
      </w:pPr>
    </w:p>
    <w:p w14:paraId="580B8FF7" w14:textId="5CCDBC3C" w:rsidR="0020784B" w:rsidRDefault="0020784B" w:rsidP="00E342B3">
      <w:pPr>
        <w:jc w:val="both"/>
        <w:rPr>
          <w:rFonts w:ascii="Arial" w:hAnsi="Arial"/>
          <w:sz w:val="20"/>
          <w:szCs w:val="20"/>
        </w:rPr>
      </w:pPr>
    </w:p>
    <w:p w14:paraId="5BBB3671" w14:textId="01248704" w:rsidR="00191B5D" w:rsidRDefault="00191B5D" w:rsidP="00E342B3">
      <w:pPr>
        <w:jc w:val="both"/>
        <w:rPr>
          <w:rFonts w:ascii="Arial" w:hAnsi="Arial"/>
          <w:sz w:val="20"/>
          <w:szCs w:val="20"/>
        </w:rPr>
      </w:pPr>
      <w:r>
        <w:rPr>
          <w:rFonts w:ascii="Arial" w:hAnsi="Arial"/>
          <w:noProof/>
          <w:sz w:val="20"/>
          <w:szCs w:val="20"/>
        </w:rPr>
        <w:drawing>
          <wp:inline distT="0" distB="0" distL="0" distR="0" wp14:anchorId="39855D8B" wp14:editId="2F9AFBD5">
            <wp:extent cx="2614295" cy="1047676"/>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15948" cy="1048338"/>
                    </a:xfrm>
                    <a:prstGeom prst="rect">
                      <a:avLst/>
                    </a:prstGeom>
                    <a:noFill/>
                    <a:ln>
                      <a:noFill/>
                    </a:ln>
                  </pic:spPr>
                </pic:pic>
              </a:graphicData>
            </a:graphic>
          </wp:inline>
        </w:drawing>
      </w:r>
    </w:p>
    <w:p w14:paraId="56E558A9" w14:textId="33AB91F7" w:rsidR="00E342B3" w:rsidRPr="0031185F" w:rsidRDefault="00E342B3" w:rsidP="00E342B3">
      <w:pPr>
        <w:jc w:val="both"/>
        <w:rPr>
          <w:rFonts w:ascii="Arial" w:hAnsi="Arial"/>
          <w:b/>
          <w:bCs/>
          <w:color w:val="1F3864" w:themeColor="accent1" w:themeShade="80"/>
          <w:sz w:val="20"/>
          <w:szCs w:val="20"/>
        </w:rPr>
      </w:pPr>
      <w:r w:rsidRPr="0031185F">
        <w:rPr>
          <w:rFonts w:ascii="Arial" w:hAnsi="Arial"/>
          <w:b/>
          <w:bCs/>
          <w:color w:val="1F3864" w:themeColor="accent1" w:themeShade="80"/>
          <w:sz w:val="20"/>
          <w:szCs w:val="20"/>
        </w:rPr>
        <w:t>Sporočilo o politiki kibernetske obrambe EU in akcijskem načrtu o vojaški mobilnosti 2.0</w:t>
      </w:r>
    </w:p>
    <w:p w14:paraId="37873A24" w14:textId="77777777" w:rsidR="00E342B3" w:rsidRPr="0031185F" w:rsidRDefault="00E342B3" w:rsidP="00E342B3">
      <w:pPr>
        <w:jc w:val="both"/>
        <w:rPr>
          <w:rFonts w:ascii="Arial" w:hAnsi="Arial"/>
          <w:color w:val="1F3864" w:themeColor="accent1" w:themeShade="80"/>
          <w:sz w:val="20"/>
          <w:szCs w:val="20"/>
        </w:rPr>
      </w:pPr>
    </w:p>
    <w:p w14:paraId="59CE3C63" w14:textId="77777777" w:rsidR="00E342B3" w:rsidRPr="0031185F" w:rsidRDefault="00E342B3" w:rsidP="00E342B3">
      <w:pPr>
        <w:jc w:val="both"/>
        <w:rPr>
          <w:rFonts w:ascii="Arial" w:hAnsi="Arial"/>
          <w:color w:val="1F3864" w:themeColor="accent1" w:themeShade="80"/>
          <w:sz w:val="20"/>
          <w:szCs w:val="20"/>
        </w:rPr>
      </w:pPr>
      <w:r w:rsidRPr="0031185F">
        <w:rPr>
          <w:rFonts w:ascii="Arial" w:hAnsi="Arial"/>
          <w:color w:val="1F3864" w:themeColor="accent1" w:themeShade="80"/>
          <w:sz w:val="20"/>
          <w:szCs w:val="20"/>
        </w:rPr>
        <w:t xml:space="preserve">EU želi z novo politiko kibernetske obrambe okrepiti sodelovanje in naložbe na področju kibernetske obrambe. </w:t>
      </w:r>
    </w:p>
    <w:p w14:paraId="57EF7C7A" w14:textId="77777777" w:rsidR="00E342B3" w:rsidRPr="0031185F" w:rsidRDefault="00E342B3" w:rsidP="00E342B3">
      <w:pPr>
        <w:jc w:val="both"/>
        <w:rPr>
          <w:rFonts w:ascii="Arial" w:hAnsi="Arial"/>
          <w:color w:val="1F3864" w:themeColor="accent1" w:themeShade="80"/>
          <w:sz w:val="20"/>
          <w:szCs w:val="20"/>
        </w:rPr>
      </w:pPr>
    </w:p>
    <w:p w14:paraId="19873E59" w14:textId="77777777" w:rsidR="00E342B3" w:rsidRPr="0031185F" w:rsidRDefault="00E342B3" w:rsidP="00E342B3">
      <w:pPr>
        <w:jc w:val="both"/>
        <w:rPr>
          <w:rFonts w:ascii="Arial" w:hAnsi="Arial"/>
          <w:color w:val="1F3864" w:themeColor="accent1" w:themeShade="80"/>
          <w:sz w:val="20"/>
          <w:szCs w:val="20"/>
        </w:rPr>
      </w:pPr>
      <w:r w:rsidRPr="0031185F">
        <w:rPr>
          <w:rFonts w:ascii="Arial" w:hAnsi="Arial"/>
          <w:color w:val="1F3864" w:themeColor="accent1" w:themeShade="80"/>
          <w:sz w:val="20"/>
          <w:szCs w:val="20"/>
        </w:rPr>
        <w:t>Več:</w:t>
      </w:r>
    </w:p>
    <w:p w14:paraId="746F90A1" w14:textId="77777777" w:rsidR="00E342B3" w:rsidRPr="006F7FBF" w:rsidRDefault="00000000" w:rsidP="00E342B3">
      <w:pPr>
        <w:jc w:val="both"/>
        <w:rPr>
          <w:rFonts w:ascii="Arial" w:hAnsi="Arial"/>
          <w:color w:val="FFC000"/>
          <w:sz w:val="20"/>
          <w:szCs w:val="20"/>
        </w:rPr>
      </w:pPr>
      <w:hyperlink r:id="rId19" w:history="1">
        <w:r w:rsidR="00E342B3" w:rsidRPr="006F7FBF">
          <w:rPr>
            <w:rStyle w:val="Hyperlink"/>
            <w:rFonts w:ascii="Arial" w:hAnsi="Arial"/>
            <w:color w:val="FFC000"/>
            <w:sz w:val="20"/>
            <w:szCs w:val="20"/>
          </w:rPr>
          <w:t>Sporočilo</w:t>
        </w:r>
      </w:hyperlink>
    </w:p>
    <w:p w14:paraId="7DB91D5C" w14:textId="1F872E32" w:rsidR="00E342B3" w:rsidRDefault="00E342B3"/>
    <w:p w14:paraId="2003E698" w14:textId="50B2120F" w:rsidR="00A77EF5" w:rsidRDefault="00A77EF5"/>
    <w:p w14:paraId="71387EF6" w14:textId="77777777" w:rsidR="00A77EF5" w:rsidRPr="0031185F" w:rsidRDefault="00A77EF5" w:rsidP="00A77EF5">
      <w:pPr>
        <w:jc w:val="both"/>
        <w:rPr>
          <w:rFonts w:ascii="Arial" w:hAnsi="Arial"/>
          <w:b/>
          <w:bCs/>
          <w:color w:val="1F3864" w:themeColor="accent1" w:themeShade="80"/>
          <w:sz w:val="20"/>
          <w:szCs w:val="20"/>
        </w:rPr>
      </w:pPr>
      <w:r w:rsidRPr="0031185F">
        <w:rPr>
          <w:rFonts w:ascii="Arial" w:hAnsi="Arial"/>
          <w:b/>
          <w:bCs/>
          <w:color w:val="1F3864" w:themeColor="accent1" w:themeShade="80"/>
          <w:sz w:val="20"/>
          <w:szCs w:val="20"/>
        </w:rPr>
        <w:t>Evropska komisija je vzpostavila akademijo EU za nadzor digitalnih financ</w:t>
      </w:r>
    </w:p>
    <w:p w14:paraId="1F6BA06D" w14:textId="77777777" w:rsidR="00A77EF5" w:rsidRPr="0031185F" w:rsidRDefault="00A77EF5" w:rsidP="00A77EF5">
      <w:pPr>
        <w:jc w:val="both"/>
        <w:rPr>
          <w:rFonts w:ascii="Arial" w:hAnsi="Arial"/>
          <w:color w:val="1F3864" w:themeColor="accent1" w:themeShade="80"/>
          <w:sz w:val="20"/>
          <w:szCs w:val="20"/>
        </w:rPr>
      </w:pPr>
    </w:p>
    <w:p w14:paraId="7EF62F37" w14:textId="77777777" w:rsidR="00A77EF5" w:rsidRPr="0031185F" w:rsidRDefault="00A77EF5" w:rsidP="00A77EF5">
      <w:pPr>
        <w:jc w:val="both"/>
        <w:rPr>
          <w:rFonts w:ascii="Arial" w:hAnsi="Arial"/>
          <w:color w:val="1F3864" w:themeColor="accent1" w:themeShade="80"/>
          <w:sz w:val="20"/>
          <w:szCs w:val="20"/>
        </w:rPr>
      </w:pPr>
      <w:r w:rsidRPr="0031185F">
        <w:rPr>
          <w:rFonts w:ascii="Arial" w:hAnsi="Arial"/>
          <w:color w:val="1F3864" w:themeColor="accent1" w:themeShade="80"/>
          <w:sz w:val="20"/>
          <w:szCs w:val="20"/>
        </w:rPr>
        <w:t xml:space="preserve">Evropska komisija je vzpostavila akademijo EU za nadzor digitalnih financ (EU-SDFA). Namen projekta je podpreti finančne organe pri obvladovanju tveganj in priložnosti, povezanih z uporabo naprednih tehnologij v finančnem sektorju. V treh letih bodo udeleženci lahko sodelovali na tematskih delavnicah in usposabljanju ter izmenjevali dobre prakse. </w:t>
      </w:r>
    </w:p>
    <w:p w14:paraId="457E44F8" w14:textId="77777777" w:rsidR="00A77EF5" w:rsidRPr="0031185F" w:rsidRDefault="00A77EF5" w:rsidP="00A77EF5">
      <w:pPr>
        <w:jc w:val="both"/>
        <w:rPr>
          <w:rFonts w:ascii="Arial" w:hAnsi="Arial"/>
          <w:color w:val="1F3864" w:themeColor="accent1" w:themeShade="80"/>
          <w:sz w:val="20"/>
          <w:szCs w:val="20"/>
        </w:rPr>
      </w:pPr>
    </w:p>
    <w:p w14:paraId="1828BED4" w14:textId="77777777" w:rsidR="00A77EF5" w:rsidRPr="0031185F" w:rsidRDefault="00A77EF5" w:rsidP="00A77EF5">
      <w:pPr>
        <w:jc w:val="both"/>
        <w:rPr>
          <w:rFonts w:ascii="Arial" w:hAnsi="Arial"/>
          <w:color w:val="1F3864" w:themeColor="accent1" w:themeShade="80"/>
          <w:sz w:val="20"/>
          <w:szCs w:val="20"/>
        </w:rPr>
      </w:pPr>
      <w:r w:rsidRPr="0031185F">
        <w:rPr>
          <w:rFonts w:ascii="Arial" w:hAnsi="Arial"/>
          <w:color w:val="1F3864" w:themeColor="accent1" w:themeShade="80"/>
          <w:sz w:val="20"/>
          <w:szCs w:val="20"/>
        </w:rPr>
        <w:t>Več:</w:t>
      </w:r>
    </w:p>
    <w:p w14:paraId="6E2D9198" w14:textId="65377877" w:rsidR="00A77EF5" w:rsidRDefault="00000000" w:rsidP="00A77EF5">
      <w:pPr>
        <w:jc w:val="both"/>
        <w:rPr>
          <w:rStyle w:val="Hyperlink"/>
          <w:rFonts w:ascii="Arial" w:hAnsi="Arial"/>
          <w:sz w:val="20"/>
          <w:szCs w:val="20"/>
        </w:rPr>
      </w:pPr>
      <w:hyperlink r:id="rId20" w:history="1">
        <w:r w:rsidR="00A77EF5" w:rsidRPr="006F7FBF">
          <w:rPr>
            <w:rStyle w:val="Hyperlink"/>
            <w:rFonts w:ascii="Arial" w:hAnsi="Arial"/>
            <w:color w:val="FFC000"/>
            <w:sz w:val="20"/>
            <w:szCs w:val="20"/>
          </w:rPr>
          <w:t>Spletna stran z informacijami o akademiji</w:t>
        </w:r>
      </w:hyperlink>
    </w:p>
    <w:p w14:paraId="1C155E00" w14:textId="7AC3E7A2" w:rsidR="00A77EF5" w:rsidRDefault="00A77EF5" w:rsidP="00A77EF5">
      <w:pPr>
        <w:jc w:val="both"/>
        <w:rPr>
          <w:rStyle w:val="Hyperlink"/>
          <w:rFonts w:ascii="Arial" w:hAnsi="Arial"/>
          <w:sz w:val="20"/>
          <w:szCs w:val="20"/>
        </w:rPr>
      </w:pPr>
    </w:p>
    <w:p w14:paraId="489A368D" w14:textId="1CFCF170" w:rsidR="00A77EF5" w:rsidRDefault="00A77EF5" w:rsidP="00A77EF5">
      <w:pPr>
        <w:jc w:val="both"/>
        <w:rPr>
          <w:rFonts w:ascii="Arial" w:hAnsi="Arial"/>
          <w:sz w:val="20"/>
          <w:szCs w:val="20"/>
        </w:rPr>
      </w:pPr>
    </w:p>
    <w:p w14:paraId="2EC706C4" w14:textId="614B3FC5" w:rsidR="00962AFD" w:rsidRDefault="00962AFD" w:rsidP="00A77EF5">
      <w:pPr>
        <w:jc w:val="both"/>
        <w:rPr>
          <w:rFonts w:ascii="Arial" w:hAnsi="Arial"/>
          <w:sz w:val="20"/>
          <w:szCs w:val="20"/>
        </w:rPr>
      </w:pPr>
      <w:r>
        <w:rPr>
          <w:rFonts w:ascii="Arial" w:hAnsi="Arial"/>
          <w:noProof/>
          <w:sz w:val="20"/>
          <w:szCs w:val="20"/>
        </w:rPr>
        <w:drawing>
          <wp:inline distT="0" distB="0" distL="0" distR="0" wp14:anchorId="16DC9146" wp14:editId="03450BEC">
            <wp:extent cx="2619375" cy="104971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19859" cy="1049906"/>
                    </a:xfrm>
                    <a:prstGeom prst="rect">
                      <a:avLst/>
                    </a:prstGeom>
                    <a:noFill/>
                    <a:ln>
                      <a:noFill/>
                    </a:ln>
                  </pic:spPr>
                </pic:pic>
              </a:graphicData>
            </a:graphic>
          </wp:inline>
        </w:drawing>
      </w:r>
    </w:p>
    <w:p w14:paraId="724D8EDC" w14:textId="77777777" w:rsidR="00FD1A19" w:rsidRPr="0031185F" w:rsidRDefault="00FD1A19" w:rsidP="00FD1A19">
      <w:pPr>
        <w:jc w:val="both"/>
        <w:rPr>
          <w:rFonts w:ascii="Arial" w:hAnsi="Arial"/>
          <w:b/>
          <w:bCs/>
          <w:color w:val="1F3864" w:themeColor="accent1" w:themeShade="80"/>
          <w:sz w:val="20"/>
          <w:szCs w:val="20"/>
        </w:rPr>
      </w:pPr>
      <w:r w:rsidRPr="0031185F">
        <w:rPr>
          <w:rFonts w:ascii="Arial" w:hAnsi="Arial"/>
          <w:b/>
          <w:bCs/>
          <w:color w:val="1F3864" w:themeColor="accent1" w:themeShade="80"/>
          <w:sz w:val="20"/>
          <w:szCs w:val="20"/>
        </w:rPr>
        <w:t>V veljavo je stopil okvirni sporazum med EU in Avstralijo</w:t>
      </w:r>
    </w:p>
    <w:p w14:paraId="246E8D27" w14:textId="77777777" w:rsidR="00FD1A19" w:rsidRPr="0031185F" w:rsidRDefault="00FD1A19" w:rsidP="00FD1A19">
      <w:pPr>
        <w:jc w:val="both"/>
        <w:rPr>
          <w:rFonts w:ascii="Arial" w:hAnsi="Arial"/>
          <w:color w:val="1F3864" w:themeColor="accent1" w:themeShade="80"/>
          <w:sz w:val="20"/>
          <w:szCs w:val="20"/>
        </w:rPr>
      </w:pPr>
    </w:p>
    <w:p w14:paraId="4029D521" w14:textId="77777777" w:rsidR="00FD1A19" w:rsidRPr="0031185F" w:rsidRDefault="00FD1A19" w:rsidP="00FD1A19">
      <w:pPr>
        <w:jc w:val="both"/>
        <w:rPr>
          <w:rFonts w:ascii="Arial" w:hAnsi="Arial"/>
          <w:color w:val="1F3864" w:themeColor="accent1" w:themeShade="80"/>
          <w:sz w:val="20"/>
          <w:szCs w:val="20"/>
        </w:rPr>
      </w:pPr>
      <w:r w:rsidRPr="0031185F">
        <w:rPr>
          <w:rFonts w:ascii="Arial" w:hAnsi="Arial"/>
          <w:color w:val="1F3864" w:themeColor="accent1" w:themeShade="80"/>
          <w:sz w:val="20"/>
          <w:szCs w:val="20"/>
        </w:rPr>
        <w:t>V veljavo je stopil okvirni sporazum med EU in Avstralijo, njegov cilj je okrepiti sodelovanje na najrazličnejših področjih.</w:t>
      </w:r>
    </w:p>
    <w:p w14:paraId="1FE2232A" w14:textId="77777777" w:rsidR="00FD1A19" w:rsidRPr="0031185F" w:rsidRDefault="00FD1A19" w:rsidP="00FD1A19">
      <w:pPr>
        <w:jc w:val="both"/>
        <w:rPr>
          <w:rFonts w:ascii="Arial" w:hAnsi="Arial"/>
          <w:color w:val="1F3864" w:themeColor="accent1" w:themeShade="80"/>
          <w:sz w:val="20"/>
          <w:szCs w:val="20"/>
        </w:rPr>
      </w:pPr>
    </w:p>
    <w:p w14:paraId="416BC35F" w14:textId="77777777" w:rsidR="00FD1A19" w:rsidRPr="0031185F" w:rsidRDefault="00FD1A19" w:rsidP="00FD1A19">
      <w:pPr>
        <w:jc w:val="both"/>
        <w:rPr>
          <w:rFonts w:ascii="Arial" w:hAnsi="Arial"/>
          <w:color w:val="1F3864" w:themeColor="accent1" w:themeShade="80"/>
          <w:sz w:val="20"/>
          <w:szCs w:val="20"/>
        </w:rPr>
      </w:pPr>
      <w:r w:rsidRPr="0031185F">
        <w:rPr>
          <w:rFonts w:ascii="Arial" w:hAnsi="Arial"/>
          <w:color w:val="1F3864" w:themeColor="accent1" w:themeShade="80"/>
          <w:sz w:val="20"/>
          <w:szCs w:val="20"/>
        </w:rPr>
        <w:t>Več:</w:t>
      </w:r>
    </w:p>
    <w:p w14:paraId="5E32E76E" w14:textId="09F51000" w:rsidR="00FD1A19" w:rsidRPr="006F7FBF" w:rsidRDefault="00000000" w:rsidP="00FD1A19">
      <w:pPr>
        <w:jc w:val="both"/>
        <w:rPr>
          <w:rStyle w:val="Hyperlink"/>
          <w:rFonts w:ascii="Arial" w:hAnsi="Arial"/>
          <w:color w:val="FFC000"/>
          <w:sz w:val="20"/>
          <w:szCs w:val="20"/>
        </w:rPr>
      </w:pPr>
      <w:hyperlink r:id="rId22" w:history="1">
        <w:r w:rsidR="00FD1A19" w:rsidRPr="006F7FBF">
          <w:rPr>
            <w:rStyle w:val="Hyperlink"/>
            <w:rFonts w:ascii="Arial" w:hAnsi="Arial"/>
            <w:color w:val="FFC000"/>
            <w:sz w:val="20"/>
            <w:szCs w:val="20"/>
          </w:rPr>
          <w:t>Spletna stran z informacijami o odnosih med EU in Avstralijo</w:t>
        </w:r>
      </w:hyperlink>
    </w:p>
    <w:p w14:paraId="19739011" w14:textId="77777777" w:rsidR="00FD1A19" w:rsidRPr="007D3961" w:rsidRDefault="00FD1A19" w:rsidP="00FD1A19">
      <w:pPr>
        <w:jc w:val="both"/>
        <w:rPr>
          <w:rFonts w:ascii="Arial" w:hAnsi="Arial"/>
          <w:sz w:val="20"/>
          <w:szCs w:val="20"/>
        </w:rPr>
      </w:pPr>
    </w:p>
    <w:p w14:paraId="61E55195" w14:textId="211D1AE4" w:rsidR="00FD1A19" w:rsidRDefault="00FD1A19" w:rsidP="00FD1A19">
      <w:pPr>
        <w:jc w:val="both"/>
        <w:rPr>
          <w:rFonts w:ascii="Arial" w:hAnsi="Arial"/>
          <w:sz w:val="20"/>
          <w:szCs w:val="20"/>
        </w:rPr>
      </w:pPr>
    </w:p>
    <w:p w14:paraId="749D5073" w14:textId="6B7CA6C9" w:rsidR="006D0C78" w:rsidRPr="007D3961" w:rsidRDefault="006D0C78" w:rsidP="00FD1A19">
      <w:pPr>
        <w:jc w:val="both"/>
        <w:rPr>
          <w:rFonts w:ascii="Arial" w:hAnsi="Arial"/>
          <w:sz w:val="20"/>
          <w:szCs w:val="20"/>
        </w:rPr>
      </w:pPr>
      <w:r>
        <w:rPr>
          <w:rFonts w:ascii="Arial" w:hAnsi="Arial"/>
          <w:noProof/>
          <w:sz w:val="20"/>
          <w:szCs w:val="20"/>
        </w:rPr>
        <w:drawing>
          <wp:inline distT="0" distB="0" distL="0" distR="0" wp14:anchorId="561F7B42" wp14:editId="244CEFA4">
            <wp:extent cx="2662518" cy="91440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67548" cy="916128"/>
                    </a:xfrm>
                    <a:prstGeom prst="rect">
                      <a:avLst/>
                    </a:prstGeom>
                    <a:noFill/>
                    <a:ln>
                      <a:noFill/>
                    </a:ln>
                  </pic:spPr>
                </pic:pic>
              </a:graphicData>
            </a:graphic>
          </wp:inline>
        </w:drawing>
      </w:r>
    </w:p>
    <w:p w14:paraId="3577AD2D" w14:textId="77777777" w:rsidR="00FD1A19" w:rsidRPr="0031185F" w:rsidRDefault="00FD1A19" w:rsidP="00FD1A19">
      <w:pPr>
        <w:jc w:val="both"/>
        <w:rPr>
          <w:rFonts w:ascii="Arial" w:hAnsi="Arial"/>
          <w:b/>
          <w:bCs/>
          <w:color w:val="1F3864" w:themeColor="accent1" w:themeShade="80"/>
          <w:sz w:val="20"/>
          <w:szCs w:val="20"/>
        </w:rPr>
      </w:pPr>
      <w:r w:rsidRPr="0031185F">
        <w:rPr>
          <w:rFonts w:ascii="Arial" w:hAnsi="Arial"/>
          <w:b/>
          <w:bCs/>
          <w:color w:val="1F3864" w:themeColor="accent1" w:themeShade="80"/>
          <w:sz w:val="20"/>
          <w:szCs w:val="20"/>
        </w:rPr>
        <w:lastRenderedPageBreak/>
        <w:t>Zaključki zasedanja voditeljev držav članic  o energiji in gospodarstvu</w:t>
      </w:r>
    </w:p>
    <w:p w14:paraId="4B3B6E57" w14:textId="77777777" w:rsidR="00FD1A19" w:rsidRPr="0031185F" w:rsidRDefault="00FD1A19" w:rsidP="00FD1A19">
      <w:pPr>
        <w:jc w:val="both"/>
        <w:rPr>
          <w:rFonts w:ascii="Arial" w:hAnsi="Arial"/>
          <w:color w:val="1F3864" w:themeColor="accent1" w:themeShade="80"/>
          <w:sz w:val="20"/>
          <w:szCs w:val="20"/>
        </w:rPr>
      </w:pPr>
    </w:p>
    <w:p w14:paraId="4204D506" w14:textId="77777777" w:rsidR="00FD1A19" w:rsidRPr="0031185F" w:rsidRDefault="00FD1A19" w:rsidP="00FD1A19">
      <w:pPr>
        <w:jc w:val="both"/>
        <w:rPr>
          <w:rFonts w:ascii="Arial" w:hAnsi="Arial"/>
          <w:color w:val="1F3864" w:themeColor="accent1" w:themeShade="80"/>
          <w:sz w:val="20"/>
          <w:szCs w:val="20"/>
        </w:rPr>
      </w:pPr>
      <w:r w:rsidRPr="0031185F">
        <w:rPr>
          <w:rFonts w:ascii="Arial" w:hAnsi="Arial"/>
          <w:color w:val="1F3864" w:themeColor="accent1" w:themeShade="80"/>
          <w:sz w:val="20"/>
          <w:szCs w:val="20"/>
        </w:rPr>
        <w:t>Voditelji članic EU v zaključkih na temo energije in gospodarstva, ki so jih sprejeli na nedavnem vrhunskem zasedanju, med drugim poudarjajo, da je treba povečati naložbe v energijsko učinkovitost, energetsko infrastrukturo, primerno za prihodnost, vključno z medsebojnimi povezavami in shranjevanjem, ter v inovativne tehnologije obnovljivih virov energije.</w:t>
      </w:r>
    </w:p>
    <w:p w14:paraId="4E6D23B7" w14:textId="77777777" w:rsidR="00FD1A19" w:rsidRPr="0031185F" w:rsidRDefault="00FD1A19" w:rsidP="00FD1A19">
      <w:pPr>
        <w:jc w:val="both"/>
        <w:rPr>
          <w:rFonts w:ascii="Arial" w:hAnsi="Arial"/>
          <w:color w:val="1F3864" w:themeColor="accent1" w:themeShade="80"/>
          <w:sz w:val="20"/>
          <w:szCs w:val="20"/>
        </w:rPr>
      </w:pPr>
    </w:p>
    <w:p w14:paraId="4C0009D5" w14:textId="77777777" w:rsidR="00FD1A19" w:rsidRPr="0031185F" w:rsidRDefault="00FD1A19" w:rsidP="00FD1A19">
      <w:pPr>
        <w:jc w:val="both"/>
        <w:rPr>
          <w:rFonts w:ascii="Arial" w:hAnsi="Arial"/>
          <w:color w:val="1F3864" w:themeColor="accent1" w:themeShade="80"/>
          <w:sz w:val="20"/>
          <w:szCs w:val="20"/>
        </w:rPr>
      </w:pPr>
      <w:r w:rsidRPr="0031185F">
        <w:rPr>
          <w:rFonts w:ascii="Arial" w:hAnsi="Arial"/>
          <w:color w:val="1F3864" w:themeColor="accent1" w:themeShade="80"/>
          <w:sz w:val="20"/>
          <w:szCs w:val="20"/>
        </w:rPr>
        <w:t>Več:</w:t>
      </w:r>
    </w:p>
    <w:p w14:paraId="38860EDD" w14:textId="77777777" w:rsidR="00FD1A19" w:rsidRPr="006F7FBF" w:rsidRDefault="00000000" w:rsidP="00FD1A19">
      <w:pPr>
        <w:jc w:val="both"/>
        <w:rPr>
          <w:rFonts w:ascii="Arial" w:hAnsi="Arial"/>
          <w:color w:val="FFC000"/>
          <w:sz w:val="20"/>
          <w:szCs w:val="20"/>
        </w:rPr>
      </w:pPr>
      <w:hyperlink r:id="rId24" w:history="1">
        <w:r w:rsidR="00FD1A19" w:rsidRPr="006F7FBF">
          <w:rPr>
            <w:rStyle w:val="Hyperlink"/>
            <w:rFonts w:ascii="Arial" w:hAnsi="Arial"/>
            <w:color w:val="FFC000"/>
            <w:sz w:val="20"/>
            <w:szCs w:val="20"/>
          </w:rPr>
          <w:t>Zaključki</w:t>
        </w:r>
      </w:hyperlink>
    </w:p>
    <w:p w14:paraId="1933C65D" w14:textId="77777777" w:rsidR="00FD1A19" w:rsidRPr="007D3961" w:rsidRDefault="00FD1A19" w:rsidP="00A77EF5">
      <w:pPr>
        <w:jc w:val="both"/>
        <w:rPr>
          <w:rFonts w:ascii="Arial" w:hAnsi="Arial"/>
          <w:sz w:val="20"/>
          <w:szCs w:val="20"/>
        </w:rPr>
      </w:pPr>
    </w:p>
    <w:p w14:paraId="5A6BB62B" w14:textId="77777777" w:rsidR="00A77EF5" w:rsidRDefault="00A77EF5"/>
    <w:sectPr w:rsidR="00A77EF5" w:rsidSect="0052492C">
      <w:headerReference w:type="first" r:id="rId25"/>
      <w:pgSz w:w="11906" w:h="16838"/>
      <w:pgMar w:top="1440" w:right="1440" w:bottom="1440" w:left="1440"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7D0A0" w14:textId="77777777" w:rsidR="00D3435A" w:rsidRDefault="00D3435A" w:rsidP="0052492C">
      <w:r>
        <w:separator/>
      </w:r>
    </w:p>
  </w:endnote>
  <w:endnote w:type="continuationSeparator" w:id="0">
    <w:p w14:paraId="62D66AFA" w14:textId="77777777" w:rsidR="00D3435A" w:rsidRDefault="00D3435A" w:rsidP="00524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Cambria"/>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22072" w14:textId="77777777" w:rsidR="00D3435A" w:rsidRDefault="00D3435A" w:rsidP="0052492C">
      <w:r>
        <w:separator/>
      </w:r>
    </w:p>
  </w:footnote>
  <w:footnote w:type="continuationSeparator" w:id="0">
    <w:p w14:paraId="75DDC06A" w14:textId="77777777" w:rsidR="00D3435A" w:rsidRDefault="00D3435A" w:rsidP="00524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620B2" w14:textId="1ED92062" w:rsidR="0052492C" w:rsidRDefault="0052492C">
    <w:pPr>
      <w:pStyle w:val="Header"/>
    </w:pPr>
    <w:r>
      <w:rPr>
        <w:noProof/>
      </w:rPr>
      <w:drawing>
        <wp:inline distT="0" distB="0" distL="0" distR="0" wp14:anchorId="2B5C1399" wp14:editId="72721D40">
          <wp:extent cx="5725160" cy="2623820"/>
          <wp:effectExtent l="0" t="0" r="889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160" cy="26238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338"/>
    <w:rsid w:val="00162150"/>
    <w:rsid w:val="00191B5D"/>
    <w:rsid w:val="0019409A"/>
    <w:rsid w:val="0020784B"/>
    <w:rsid w:val="0031185F"/>
    <w:rsid w:val="004C79CF"/>
    <w:rsid w:val="004F3FBD"/>
    <w:rsid w:val="0052492C"/>
    <w:rsid w:val="00683D1B"/>
    <w:rsid w:val="006B2338"/>
    <w:rsid w:val="006D0C78"/>
    <w:rsid w:val="006F7FBF"/>
    <w:rsid w:val="008F32C9"/>
    <w:rsid w:val="00962AFD"/>
    <w:rsid w:val="00962CB2"/>
    <w:rsid w:val="009C2549"/>
    <w:rsid w:val="00A77EF5"/>
    <w:rsid w:val="00B14299"/>
    <w:rsid w:val="00C85755"/>
    <w:rsid w:val="00D3435A"/>
    <w:rsid w:val="00D52012"/>
    <w:rsid w:val="00DF1060"/>
    <w:rsid w:val="00E342B3"/>
    <w:rsid w:val="00E54EC9"/>
    <w:rsid w:val="00FD1A19"/>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EB471"/>
  <w15:chartTrackingRefBased/>
  <w15:docId w15:val="{8B219742-8F56-4FB7-8386-622003DC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09A"/>
    <w:pPr>
      <w:spacing w:after="0" w:line="240" w:lineRule="auto"/>
    </w:pPr>
    <w:rPr>
      <w:rFonts w:ascii="Times New Roman" w:eastAsia="NSimSun" w:hAnsi="Times New Roman" w:cs="Arial"/>
      <w:kern w:val="2"/>
      <w:sz w:val="24"/>
      <w:szCs w:val="24"/>
      <w:lang w:val="sl-SI"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09A"/>
    <w:rPr>
      <w:color w:val="0563C1" w:themeColor="hyperlink"/>
      <w:u w:val="single"/>
    </w:rPr>
  </w:style>
  <w:style w:type="paragraph" w:styleId="Header">
    <w:name w:val="header"/>
    <w:basedOn w:val="Normal"/>
    <w:link w:val="HeaderChar"/>
    <w:uiPriority w:val="99"/>
    <w:unhideWhenUsed/>
    <w:rsid w:val="0052492C"/>
    <w:pPr>
      <w:tabs>
        <w:tab w:val="center" w:pos="4513"/>
        <w:tab w:val="right" w:pos="9026"/>
      </w:tabs>
    </w:pPr>
    <w:rPr>
      <w:rFonts w:cs="Mangal"/>
      <w:szCs w:val="21"/>
    </w:rPr>
  </w:style>
  <w:style w:type="character" w:customStyle="1" w:styleId="HeaderChar">
    <w:name w:val="Header Char"/>
    <w:basedOn w:val="DefaultParagraphFont"/>
    <w:link w:val="Header"/>
    <w:uiPriority w:val="99"/>
    <w:rsid w:val="0052492C"/>
    <w:rPr>
      <w:rFonts w:ascii="Times New Roman" w:eastAsia="NSimSun" w:hAnsi="Times New Roman" w:cs="Mangal"/>
      <w:kern w:val="2"/>
      <w:sz w:val="24"/>
      <w:szCs w:val="21"/>
      <w:lang w:val="sl-SI" w:eastAsia="zh-CN" w:bidi="hi-IN"/>
    </w:rPr>
  </w:style>
  <w:style w:type="paragraph" w:styleId="Footer">
    <w:name w:val="footer"/>
    <w:basedOn w:val="Normal"/>
    <w:link w:val="FooterChar"/>
    <w:uiPriority w:val="99"/>
    <w:unhideWhenUsed/>
    <w:rsid w:val="0052492C"/>
    <w:pPr>
      <w:tabs>
        <w:tab w:val="center" w:pos="4513"/>
        <w:tab w:val="right" w:pos="9026"/>
      </w:tabs>
    </w:pPr>
    <w:rPr>
      <w:rFonts w:cs="Mangal"/>
      <w:szCs w:val="21"/>
    </w:rPr>
  </w:style>
  <w:style w:type="character" w:customStyle="1" w:styleId="FooterChar">
    <w:name w:val="Footer Char"/>
    <w:basedOn w:val="DefaultParagraphFont"/>
    <w:link w:val="Footer"/>
    <w:uiPriority w:val="99"/>
    <w:rsid w:val="0052492C"/>
    <w:rPr>
      <w:rFonts w:ascii="Times New Roman" w:eastAsia="NSimSun" w:hAnsi="Times New Roman" w:cs="Mangal"/>
      <w:kern w:val="2"/>
      <w:sz w:val="24"/>
      <w:szCs w:val="21"/>
      <w:lang w:val="sl-SI"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hyperlink" Target="https://agriculture.ec.europa.eu/cap-my-country/cap-strategic-plans/approved-csp-0_en" TargetMode="External"/><Relationship Id="rId12" Type="http://schemas.openxmlformats.org/officeDocument/2006/relationships/image" Target="media/image4.png"/><Relationship Id="rId17" Type="http://schemas.openxmlformats.org/officeDocument/2006/relationships/hyperlink" Target="https://single-market-economy.ec.europa.eu/sectors/tourism/eden_sl"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smart-tourism-capital.ec.europa.eu/index_sl" TargetMode="External"/><Relationship Id="rId20" Type="http://schemas.openxmlformats.org/officeDocument/2006/relationships/hyperlink" Target="https://reform-support.ec.europa.eu/what-we-do/financial-sector-and-access-finance/eu-supervisory-digital-finance-academy_sl"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single-market-economy.ec.europa.eu/system/files/2022-11/COM_2022_571_1_EN_ACT_part1_v7.pdf" TargetMode="External"/><Relationship Id="rId24" Type="http://schemas.openxmlformats.org/officeDocument/2006/relationships/hyperlink" Target="https://www.consilium.europa.eu/sl/press/press-releases/2022/10/21/european-council-conclusions-on-energy-and-economy-20-october-2022/" TargetMode="External"/><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9.png"/><Relationship Id="rId10" Type="http://schemas.openxmlformats.org/officeDocument/2006/relationships/image" Target="media/image3.png"/><Relationship Id="rId19" Type="http://schemas.openxmlformats.org/officeDocument/2006/relationships/hyperlink" Target="https://www.eeas.europa.eu/eeas/joint-communication-european-parliament-and-council-eu-policy-cyber-defence_en" TargetMode="External"/><Relationship Id="rId4" Type="http://schemas.openxmlformats.org/officeDocument/2006/relationships/footnotes" Target="footnotes.xml"/><Relationship Id="rId9" Type="http://schemas.openxmlformats.org/officeDocument/2006/relationships/hyperlink" Target="https://www.eib.org/en/publications/online/finance-female-entrepreneurs" TargetMode="External"/><Relationship Id="rId14" Type="http://schemas.openxmlformats.org/officeDocument/2006/relationships/hyperlink" Target="https://competition-policy.ec.europa.eu/public-consultations/2022-market-definition-notice_sl" TargetMode="External"/><Relationship Id="rId22" Type="http://schemas.openxmlformats.org/officeDocument/2006/relationships/hyperlink" Target="https://www.eeas.europa.eu/eeas/eu-australia-relations_en"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800</Words>
  <Characters>4561</Characters>
  <Application>Microsoft Office Word</Application>
  <DocSecurity>0</DocSecurity>
  <Lines>38</Lines>
  <Paragraphs>10</Paragraphs>
  <ScaleCrop>false</ScaleCrop>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Bostjan Sinkovec</dc:creator>
  <cp:keywords/>
  <dc:description/>
  <cp:lastModifiedBy>Bostjan Sinkovec</cp:lastModifiedBy>
  <cp:revision>4</cp:revision>
  <dcterms:created xsi:type="dcterms:W3CDTF">2022-11-21T13:34:00Z</dcterms:created>
  <dcterms:modified xsi:type="dcterms:W3CDTF">2022-11-21T13:36:00Z</dcterms:modified>
</cp:coreProperties>
</file>