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8E981" w14:textId="20E497BA" w:rsidR="0055273D" w:rsidRDefault="0055273D">
      <w:r>
        <w:rPr>
          <w:rFonts w:eastAsia="Times New Roman"/>
          <w:noProof/>
        </w:rPr>
        <w:drawing>
          <wp:inline distT="0" distB="0" distL="0" distR="0" wp14:anchorId="3688598A" wp14:editId="4E940DDC">
            <wp:extent cx="5372100" cy="2343150"/>
            <wp:effectExtent l="0" t="0" r="0" b="0"/>
            <wp:docPr id="11" name="Picture 1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2100" cy="2343150"/>
                    </a:xfrm>
                    <a:prstGeom prst="rect">
                      <a:avLst/>
                    </a:prstGeom>
                    <a:noFill/>
                    <a:ln>
                      <a:noFill/>
                    </a:ln>
                  </pic:spPr>
                </pic:pic>
              </a:graphicData>
            </a:graphic>
          </wp:inline>
        </w:drawing>
      </w:r>
    </w:p>
    <w:p w14:paraId="1B8B0295" w14:textId="3EEECF64" w:rsidR="0055273D" w:rsidRDefault="0055273D"/>
    <w:tbl>
      <w:tblPr>
        <w:tblW w:w="5000" w:type="pct"/>
        <w:tblCellMar>
          <w:left w:w="0" w:type="dxa"/>
          <w:right w:w="0" w:type="dxa"/>
        </w:tblCellMar>
        <w:tblLook w:val="04A0" w:firstRow="1" w:lastRow="0" w:firstColumn="1" w:lastColumn="0" w:noHBand="0" w:noVBand="1"/>
      </w:tblPr>
      <w:tblGrid>
        <w:gridCol w:w="9026"/>
      </w:tblGrid>
      <w:tr w:rsidR="0055273D" w14:paraId="34EC10AC" w14:textId="77777777" w:rsidTr="0055273D">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513"/>
              <w:gridCol w:w="4513"/>
            </w:tblGrid>
            <w:tr w:rsidR="0055273D" w14:paraId="300DBE7A" w14:textId="77777777" w:rsidTr="0055273D">
              <w:tc>
                <w:tcPr>
                  <w:tcW w:w="4513" w:type="dxa"/>
                  <w:hideMark/>
                </w:tcPr>
                <w:tbl>
                  <w:tblPr>
                    <w:tblpPr w:leftFromText="45" w:rightFromText="45" w:vertAnchor="text"/>
                    <w:tblW w:w="4513" w:type="dxa"/>
                    <w:tblCellMar>
                      <w:left w:w="0" w:type="dxa"/>
                      <w:right w:w="0" w:type="dxa"/>
                    </w:tblCellMar>
                    <w:tblLook w:val="04A0" w:firstRow="1" w:lastRow="0" w:firstColumn="1" w:lastColumn="0" w:noHBand="0" w:noVBand="1"/>
                  </w:tblPr>
                  <w:tblGrid>
                    <w:gridCol w:w="4513"/>
                  </w:tblGrid>
                  <w:tr w:rsidR="0055273D" w14:paraId="02359226" w14:textId="77777777" w:rsidTr="0055273D">
                    <w:tc>
                      <w:tcPr>
                        <w:tcW w:w="0" w:type="auto"/>
                        <w:tcMar>
                          <w:top w:w="0" w:type="dxa"/>
                          <w:left w:w="270" w:type="dxa"/>
                          <w:bottom w:w="135" w:type="dxa"/>
                          <w:right w:w="270" w:type="dxa"/>
                        </w:tcMar>
                        <w:hideMark/>
                      </w:tcPr>
                      <w:p w14:paraId="681BD9C6" w14:textId="77777777" w:rsidR="0055273D" w:rsidRDefault="0055273D">
                        <w:pPr>
                          <w:pStyle w:val="Heading3"/>
                          <w:rPr>
                            <w:rFonts w:eastAsia="Times New Roman"/>
                          </w:rPr>
                        </w:pPr>
                        <w:proofErr w:type="spellStart"/>
                        <w:r>
                          <w:rPr>
                            <w:rStyle w:val="Strong"/>
                            <w:rFonts w:eastAsia="Times New Roman"/>
                            <w:b/>
                            <w:bCs/>
                            <w:color w:val="000080"/>
                          </w:rPr>
                          <w:t>Evropska</w:t>
                        </w:r>
                        <w:proofErr w:type="spellEnd"/>
                        <w:r>
                          <w:rPr>
                            <w:rStyle w:val="Strong"/>
                            <w:rFonts w:eastAsia="Times New Roman"/>
                            <w:b/>
                            <w:bCs/>
                            <w:color w:val="000080"/>
                          </w:rPr>
                          <w:t xml:space="preserve"> </w:t>
                        </w:r>
                        <w:proofErr w:type="spellStart"/>
                        <w:r>
                          <w:rPr>
                            <w:rStyle w:val="Strong"/>
                            <w:rFonts w:eastAsia="Times New Roman"/>
                            <w:b/>
                            <w:bCs/>
                            <w:color w:val="000080"/>
                          </w:rPr>
                          <w:t>komisija</w:t>
                        </w:r>
                        <w:proofErr w:type="spellEnd"/>
                        <w:r>
                          <w:rPr>
                            <w:rStyle w:val="Strong"/>
                            <w:rFonts w:eastAsia="Times New Roman"/>
                            <w:b/>
                            <w:bCs/>
                            <w:color w:val="000080"/>
                          </w:rPr>
                          <w:t xml:space="preserve"> je </w:t>
                        </w:r>
                        <w:proofErr w:type="spellStart"/>
                        <w:r>
                          <w:rPr>
                            <w:rStyle w:val="Strong"/>
                            <w:rFonts w:eastAsia="Times New Roman"/>
                            <w:b/>
                            <w:bCs/>
                            <w:color w:val="000080"/>
                          </w:rPr>
                          <w:t>vzpostavila</w:t>
                        </w:r>
                        <w:proofErr w:type="spellEnd"/>
                        <w:r>
                          <w:rPr>
                            <w:rStyle w:val="Strong"/>
                            <w:rFonts w:eastAsia="Times New Roman"/>
                            <w:b/>
                            <w:bCs/>
                            <w:color w:val="000080"/>
                          </w:rPr>
                          <w:t xml:space="preserve"> forum Start-up Village</w:t>
                        </w:r>
                        <w:r>
                          <w:rPr>
                            <w:rFonts w:eastAsia="Times New Roman"/>
                          </w:rPr>
                          <w:br/>
                          <w:t> </w:t>
                        </w:r>
                      </w:p>
                      <w:p w14:paraId="0F7E7AB1" w14:textId="4D852051" w:rsidR="0055273D" w:rsidRDefault="0055273D">
                        <w:pPr>
                          <w:spacing w:line="360" w:lineRule="auto"/>
                          <w:jc w:val="both"/>
                          <w:rPr>
                            <w:rFonts w:ascii="Helvetica" w:eastAsia="Times New Roman" w:hAnsi="Helvetica"/>
                            <w:color w:val="606060"/>
                            <w:sz w:val="23"/>
                            <w:szCs w:val="23"/>
                          </w:rPr>
                        </w:pPr>
                        <w:r>
                          <w:rPr>
                            <w:rFonts w:ascii="Arial" w:eastAsia="Times New Roman" w:hAnsi="Arial"/>
                            <w:b/>
                            <w:bCs/>
                            <w:noProof/>
                            <w:color w:val="606060"/>
                            <w:sz w:val="18"/>
                            <w:szCs w:val="18"/>
                          </w:rPr>
                          <w:drawing>
                            <wp:inline distT="0" distB="0" distL="0" distR="0" wp14:anchorId="5B4530AB" wp14:editId="33869815">
                              <wp:extent cx="2540000" cy="1022350"/>
                              <wp:effectExtent l="0" t="0" r="0" b="635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0000" cy="1022350"/>
                                      </a:xfrm>
                                      <a:prstGeom prst="rect">
                                        <a:avLst/>
                                      </a:prstGeom>
                                      <a:noFill/>
                                      <a:ln>
                                        <a:noFill/>
                                      </a:ln>
                                    </pic:spPr>
                                  </pic:pic>
                                </a:graphicData>
                              </a:graphic>
                            </wp:inline>
                          </w:drawing>
                        </w:r>
                        <w:r>
                          <w:rPr>
                            <w:rFonts w:ascii="Arial" w:eastAsia="Times New Roman" w:hAnsi="Arial"/>
                            <w:b/>
                            <w:bCs/>
                            <w:color w:val="606060"/>
                            <w:sz w:val="18"/>
                            <w:szCs w:val="18"/>
                          </w:rPr>
                          <w:br/>
                        </w:r>
                        <w:r>
                          <w:rPr>
                            <w:rStyle w:val="Strong"/>
                            <w:rFonts w:ascii="Arial" w:eastAsia="Times New Roman" w:hAnsi="Arial"/>
                            <w:color w:val="606060"/>
                            <w:sz w:val="18"/>
                            <w:szCs w:val="18"/>
                          </w:rPr>
                          <w:t xml:space="preserve">Evropska komisija je v okviru dolgoročne vizije za podeželska območja EU in akcijskega načrta za podeželje vzpostavila letni forum Start-up </w:t>
                        </w:r>
                        <w:proofErr w:type="spellStart"/>
                        <w:r>
                          <w:rPr>
                            <w:rStyle w:val="Strong"/>
                            <w:rFonts w:ascii="Arial" w:eastAsia="Times New Roman" w:hAnsi="Arial"/>
                            <w:color w:val="606060"/>
                            <w:sz w:val="18"/>
                            <w:szCs w:val="18"/>
                          </w:rPr>
                          <w:t>Village</w:t>
                        </w:r>
                        <w:proofErr w:type="spellEnd"/>
                        <w:r>
                          <w:rPr>
                            <w:rStyle w:val="Strong"/>
                            <w:rFonts w:ascii="Arial" w:eastAsia="Times New Roman" w:hAnsi="Arial"/>
                            <w:color w:val="606060"/>
                            <w:sz w:val="18"/>
                            <w:szCs w:val="18"/>
                          </w:rPr>
                          <w:t xml:space="preserve"> katerega namen je spodbujati raziskave in inovacije v podeželskih skupnostih, ter pomagati graditi bolj inovativno podjetništvo na podeželju.</w:t>
                        </w:r>
                        <w:r>
                          <w:rPr>
                            <w:rFonts w:ascii="Arial" w:eastAsia="Times New Roman" w:hAnsi="Arial"/>
                            <w:b/>
                            <w:bCs/>
                            <w:color w:val="606060"/>
                            <w:sz w:val="18"/>
                            <w:szCs w:val="18"/>
                          </w:rPr>
                          <w:br/>
                        </w:r>
                        <w:r>
                          <w:rPr>
                            <w:rStyle w:val="Strong"/>
                            <w:rFonts w:ascii="Arial" w:eastAsia="Times New Roman" w:hAnsi="Arial"/>
                            <w:color w:val="606060"/>
                            <w:sz w:val="18"/>
                            <w:szCs w:val="18"/>
                          </w:rPr>
                          <w:t> </w:t>
                        </w:r>
                        <w:r>
                          <w:rPr>
                            <w:rFonts w:ascii="Arial" w:eastAsia="Times New Roman" w:hAnsi="Arial"/>
                            <w:b/>
                            <w:bCs/>
                            <w:color w:val="606060"/>
                            <w:sz w:val="18"/>
                            <w:szCs w:val="18"/>
                          </w:rPr>
                          <w:br/>
                        </w:r>
                        <w:r>
                          <w:rPr>
                            <w:rStyle w:val="Strong"/>
                            <w:rFonts w:ascii="Arial" w:eastAsia="Times New Roman" w:hAnsi="Arial"/>
                            <w:color w:val="606060"/>
                            <w:sz w:val="18"/>
                            <w:szCs w:val="18"/>
                          </w:rPr>
                          <w:t>Več:</w:t>
                        </w:r>
                        <w:r>
                          <w:rPr>
                            <w:rFonts w:ascii="Arial" w:eastAsia="Times New Roman" w:hAnsi="Arial"/>
                            <w:b/>
                            <w:bCs/>
                            <w:color w:val="606060"/>
                            <w:sz w:val="18"/>
                            <w:szCs w:val="18"/>
                          </w:rPr>
                          <w:br/>
                        </w:r>
                        <w:hyperlink r:id="rId6" w:history="1">
                          <w:r>
                            <w:rPr>
                              <w:rStyle w:val="Hyperlink"/>
                              <w:rFonts w:ascii="Arial" w:eastAsia="Times New Roman" w:hAnsi="Arial"/>
                              <w:color w:val="DAA520"/>
                              <w:sz w:val="18"/>
                              <w:szCs w:val="18"/>
                            </w:rPr>
                            <w:t>Spletna stran foruma</w:t>
                          </w:r>
                        </w:hyperlink>
                      </w:p>
                    </w:tc>
                  </w:tr>
                </w:tbl>
                <w:p w14:paraId="5C3477F9" w14:textId="77777777" w:rsidR="0055273D" w:rsidRDefault="0055273D">
                  <w:pPr>
                    <w:rPr>
                      <w:rFonts w:eastAsia="Times New Roman" w:cs="Times New Roman"/>
                      <w:sz w:val="20"/>
                      <w:szCs w:val="20"/>
                    </w:rPr>
                  </w:pPr>
                </w:p>
              </w:tc>
              <w:tc>
                <w:tcPr>
                  <w:tcW w:w="4513"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13"/>
                  </w:tblGrid>
                  <w:tr w:rsidR="0055273D" w14:paraId="0C3BB3B8" w14:textId="77777777">
                    <w:tc>
                      <w:tcPr>
                        <w:tcW w:w="0" w:type="auto"/>
                        <w:tcMar>
                          <w:top w:w="0" w:type="dxa"/>
                          <w:left w:w="270" w:type="dxa"/>
                          <w:bottom w:w="135" w:type="dxa"/>
                          <w:right w:w="270" w:type="dxa"/>
                        </w:tcMar>
                        <w:hideMark/>
                      </w:tcPr>
                      <w:p w14:paraId="63EB5FD4" w14:textId="77777777" w:rsidR="0055273D" w:rsidRDefault="0055273D">
                        <w:pPr>
                          <w:pStyle w:val="Heading3"/>
                          <w:rPr>
                            <w:rFonts w:eastAsia="Times New Roman"/>
                          </w:rPr>
                        </w:pPr>
                        <w:proofErr w:type="spellStart"/>
                        <w:r>
                          <w:rPr>
                            <w:rStyle w:val="Strong"/>
                            <w:rFonts w:eastAsia="Times New Roman"/>
                            <w:b/>
                            <w:bCs/>
                            <w:color w:val="000080"/>
                          </w:rPr>
                          <w:t>Evropska</w:t>
                        </w:r>
                        <w:proofErr w:type="spellEnd"/>
                        <w:r>
                          <w:rPr>
                            <w:rStyle w:val="Strong"/>
                            <w:rFonts w:eastAsia="Times New Roman"/>
                            <w:b/>
                            <w:bCs/>
                            <w:color w:val="000080"/>
                          </w:rPr>
                          <w:t xml:space="preserve"> </w:t>
                        </w:r>
                        <w:proofErr w:type="spellStart"/>
                        <w:r>
                          <w:rPr>
                            <w:rStyle w:val="Strong"/>
                            <w:rFonts w:eastAsia="Times New Roman"/>
                            <w:b/>
                            <w:bCs/>
                            <w:color w:val="000080"/>
                          </w:rPr>
                          <w:t>komisija</w:t>
                        </w:r>
                        <w:proofErr w:type="spellEnd"/>
                        <w:r>
                          <w:rPr>
                            <w:rStyle w:val="Strong"/>
                            <w:rFonts w:eastAsia="Times New Roman"/>
                            <w:b/>
                            <w:bCs/>
                            <w:color w:val="000080"/>
                          </w:rPr>
                          <w:t xml:space="preserve"> je </w:t>
                        </w:r>
                        <w:proofErr w:type="spellStart"/>
                        <w:r>
                          <w:rPr>
                            <w:rStyle w:val="Strong"/>
                            <w:rFonts w:eastAsia="Times New Roman"/>
                            <w:b/>
                            <w:bCs/>
                            <w:color w:val="000080"/>
                          </w:rPr>
                          <w:t>objavila</w:t>
                        </w:r>
                        <w:proofErr w:type="spellEnd"/>
                        <w:r>
                          <w:rPr>
                            <w:rStyle w:val="Strong"/>
                            <w:rFonts w:eastAsia="Times New Roman"/>
                            <w:b/>
                            <w:bCs/>
                            <w:color w:val="000080"/>
                          </w:rPr>
                          <w:t xml:space="preserve"> </w:t>
                        </w:r>
                        <w:proofErr w:type="spellStart"/>
                        <w:r>
                          <w:rPr>
                            <w:rStyle w:val="Strong"/>
                            <w:rFonts w:eastAsia="Times New Roman"/>
                            <w:b/>
                            <w:bCs/>
                            <w:color w:val="000080"/>
                          </w:rPr>
                          <w:t>prve</w:t>
                        </w:r>
                        <w:proofErr w:type="spellEnd"/>
                        <w:r>
                          <w:rPr>
                            <w:rStyle w:val="Strong"/>
                            <w:rFonts w:eastAsia="Times New Roman"/>
                            <w:b/>
                            <w:bCs/>
                            <w:color w:val="000080"/>
                          </w:rPr>
                          <w:t xml:space="preserve"> </w:t>
                        </w:r>
                        <w:proofErr w:type="spellStart"/>
                        <w:r>
                          <w:rPr>
                            <w:rStyle w:val="Strong"/>
                            <w:rFonts w:eastAsia="Times New Roman"/>
                            <w:b/>
                            <w:bCs/>
                            <w:color w:val="000080"/>
                          </w:rPr>
                          <w:t>razpise</w:t>
                        </w:r>
                        <w:proofErr w:type="spellEnd"/>
                        <w:r>
                          <w:rPr>
                            <w:rStyle w:val="Strong"/>
                            <w:rFonts w:eastAsia="Times New Roman"/>
                            <w:b/>
                            <w:bCs/>
                            <w:color w:val="000080"/>
                          </w:rPr>
                          <w:t xml:space="preserve"> v </w:t>
                        </w:r>
                        <w:proofErr w:type="spellStart"/>
                        <w:r>
                          <w:rPr>
                            <w:rStyle w:val="Strong"/>
                            <w:rFonts w:eastAsia="Times New Roman"/>
                            <w:b/>
                            <w:bCs/>
                            <w:color w:val="000080"/>
                          </w:rPr>
                          <w:t>okviru</w:t>
                        </w:r>
                        <w:proofErr w:type="spellEnd"/>
                        <w:r>
                          <w:rPr>
                            <w:rStyle w:val="Strong"/>
                            <w:rFonts w:eastAsia="Times New Roman"/>
                            <w:b/>
                            <w:bCs/>
                            <w:color w:val="000080"/>
                          </w:rPr>
                          <w:t xml:space="preserve"> </w:t>
                        </w:r>
                        <w:proofErr w:type="spellStart"/>
                        <w:r>
                          <w:rPr>
                            <w:rStyle w:val="Strong"/>
                            <w:rFonts w:eastAsia="Times New Roman"/>
                            <w:b/>
                            <w:bCs/>
                            <w:color w:val="000080"/>
                          </w:rPr>
                          <w:t>programa</w:t>
                        </w:r>
                        <w:proofErr w:type="spellEnd"/>
                        <w:r>
                          <w:rPr>
                            <w:rStyle w:val="Strong"/>
                            <w:rFonts w:eastAsia="Times New Roman"/>
                            <w:b/>
                            <w:bCs/>
                            <w:color w:val="000080"/>
                          </w:rPr>
                          <w:t xml:space="preserve"> za </w:t>
                        </w:r>
                        <w:proofErr w:type="spellStart"/>
                        <w:r>
                          <w:rPr>
                            <w:rStyle w:val="Strong"/>
                            <w:rFonts w:eastAsia="Times New Roman"/>
                            <w:b/>
                            <w:bCs/>
                            <w:color w:val="000080"/>
                          </w:rPr>
                          <w:t>digitalno</w:t>
                        </w:r>
                        <w:proofErr w:type="spellEnd"/>
                        <w:r>
                          <w:rPr>
                            <w:rStyle w:val="Strong"/>
                            <w:rFonts w:eastAsia="Times New Roman"/>
                            <w:b/>
                            <w:bCs/>
                            <w:color w:val="000080"/>
                          </w:rPr>
                          <w:t xml:space="preserve"> </w:t>
                        </w:r>
                        <w:proofErr w:type="spellStart"/>
                        <w:r>
                          <w:rPr>
                            <w:rStyle w:val="Strong"/>
                            <w:rFonts w:eastAsia="Times New Roman"/>
                            <w:b/>
                            <w:bCs/>
                            <w:color w:val="000080"/>
                          </w:rPr>
                          <w:t>Evropo</w:t>
                        </w:r>
                        <w:proofErr w:type="spellEnd"/>
                      </w:p>
                      <w:p w14:paraId="57C826B9" w14:textId="170A044A" w:rsidR="0055273D" w:rsidRDefault="0055273D">
                        <w:pPr>
                          <w:pStyle w:val="Heading3"/>
                          <w:jc w:val="both"/>
                          <w:rPr>
                            <w:rFonts w:eastAsia="Times New Roman"/>
                          </w:rPr>
                        </w:pPr>
                        <w:r>
                          <w:rPr>
                            <w:rFonts w:eastAsia="Times New Roman"/>
                            <w:noProof/>
                          </w:rPr>
                          <w:drawing>
                            <wp:inline distT="0" distB="0" distL="0" distR="0" wp14:anchorId="0868F4AE" wp14:editId="3FEA3542">
                              <wp:extent cx="2540000" cy="1022350"/>
                              <wp:effectExtent l="0" t="0" r="0" b="6350"/>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000" cy="1022350"/>
                                      </a:xfrm>
                                      <a:prstGeom prst="rect">
                                        <a:avLst/>
                                      </a:prstGeom>
                                      <a:noFill/>
                                      <a:ln>
                                        <a:noFill/>
                                      </a:ln>
                                    </pic:spPr>
                                  </pic:pic>
                                </a:graphicData>
                              </a:graphic>
                            </wp:inline>
                          </w:drawing>
                        </w:r>
                      </w:p>
                      <w:p w14:paraId="348277D3" w14:textId="77777777" w:rsidR="0055273D" w:rsidRDefault="0055273D">
                        <w:pPr>
                          <w:spacing w:line="360" w:lineRule="auto"/>
                          <w:jc w:val="both"/>
                          <w:rPr>
                            <w:rFonts w:ascii="Helvetica" w:eastAsia="Times New Roman" w:hAnsi="Helvetica"/>
                            <w:color w:val="606060"/>
                            <w:sz w:val="23"/>
                            <w:szCs w:val="23"/>
                          </w:rPr>
                        </w:pPr>
                        <w:r>
                          <w:rPr>
                            <w:rStyle w:val="Strong"/>
                            <w:rFonts w:ascii="Arial" w:eastAsia="Times New Roman" w:hAnsi="Arial"/>
                            <w:color w:val="606060"/>
                            <w:sz w:val="18"/>
                            <w:szCs w:val="18"/>
                          </w:rPr>
                          <w:t>Evropska komisija je objavila prve razpise v okviru programa za digitalno Evropo, ki so na voljo podjetjem, organizacijam in javnim upravam. Rok za oddajo prijav se izteče 22. februarja 2022.</w:t>
                        </w:r>
                        <w:r>
                          <w:rPr>
                            <w:rFonts w:ascii="Arial" w:eastAsia="Times New Roman" w:hAnsi="Arial"/>
                            <w:b/>
                            <w:bCs/>
                            <w:color w:val="606060"/>
                            <w:sz w:val="18"/>
                            <w:szCs w:val="18"/>
                          </w:rPr>
                          <w:br/>
                        </w:r>
                        <w:r>
                          <w:rPr>
                            <w:rStyle w:val="Strong"/>
                            <w:rFonts w:ascii="Arial" w:eastAsia="Times New Roman" w:hAnsi="Arial"/>
                            <w:color w:val="606060"/>
                            <w:sz w:val="18"/>
                            <w:szCs w:val="18"/>
                          </w:rPr>
                          <w:t> </w:t>
                        </w:r>
                        <w:r>
                          <w:rPr>
                            <w:rFonts w:ascii="Arial" w:eastAsia="Times New Roman" w:hAnsi="Arial"/>
                            <w:b/>
                            <w:bCs/>
                            <w:color w:val="606060"/>
                            <w:sz w:val="18"/>
                            <w:szCs w:val="18"/>
                          </w:rPr>
                          <w:br/>
                        </w:r>
                        <w:r>
                          <w:rPr>
                            <w:rStyle w:val="Strong"/>
                            <w:rFonts w:ascii="Arial" w:eastAsia="Times New Roman" w:hAnsi="Arial"/>
                            <w:color w:val="606060"/>
                            <w:sz w:val="18"/>
                            <w:szCs w:val="18"/>
                          </w:rPr>
                          <w:t>Več:</w:t>
                        </w:r>
                        <w:r>
                          <w:rPr>
                            <w:rFonts w:ascii="Arial" w:eastAsia="Times New Roman" w:hAnsi="Arial"/>
                            <w:b/>
                            <w:bCs/>
                            <w:color w:val="606060"/>
                            <w:sz w:val="18"/>
                            <w:szCs w:val="18"/>
                          </w:rPr>
                          <w:br/>
                        </w:r>
                        <w:hyperlink r:id="rId8" w:history="1">
                          <w:r>
                            <w:rPr>
                              <w:rStyle w:val="Hyperlink"/>
                              <w:rFonts w:ascii="Arial" w:eastAsia="Times New Roman" w:hAnsi="Arial"/>
                              <w:color w:val="DAA520"/>
                              <w:sz w:val="18"/>
                              <w:szCs w:val="18"/>
                            </w:rPr>
                            <w:t>Razpisi</w:t>
                          </w:r>
                        </w:hyperlink>
                      </w:p>
                    </w:tc>
                  </w:tr>
                </w:tbl>
                <w:p w14:paraId="696A5A0E" w14:textId="77777777" w:rsidR="0055273D" w:rsidRDefault="0055273D">
                  <w:pPr>
                    <w:rPr>
                      <w:rFonts w:eastAsia="Times New Roman" w:cs="Times New Roman"/>
                      <w:sz w:val="20"/>
                      <w:szCs w:val="20"/>
                    </w:rPr>
                  </w:pPr>
                </w:p>
              </w:tc>
            </w:tr>
          </w:tbl>
          <w:p w14:paraId="1A511DAC" w14:textId="77777777" w:rsidR="0055273D" w:rsidRDefault="0055273D">
            <w:pPr>
              <w:rPr>
                <w:rFonts w:eastAsia="Times New Roman" w:cs="Times New Roman"/>
                <w:sz w:val="20"/>
                <w:szCs w:val="20"/>
              </w:rPr>
            </w:pPr>
          </w:p>
        </w:tc>
      </w:tr>
    </w:tbl>
    <w:p w14:paraId="5F48715F" w14:textId="77777777" w:rsidR="0055273D" w:rsidRDefault="0055273D" w:rsidP="0055273D">
      <w:pPr>
        <w:rPr>
          <w:rFonts w:ascii="Calibri" w:eastAsia="Times New Roman" w:hAnsi="Calibri" w:cs="Calibri"/>
          <w:vanish/>
          <w:sz w:val="22"/>
          <w:szCs w:val="22"/>
          <w:lang w:val="en-BE"/>
        </w:rPr>
      </w:pPr>
    </w:p>
    <w:tbl>
      <w:tblPr>
        <w:tblW w:w="5000" w:type="pct"/>
        <w:tblCellMar>
          <w:left w:w="0" w:type="dxa"/>
          <w:right w:w="0" w:type="dxa"/>
        </w:tblCellMar>
        <w:tblLook w:val="04A0" w:firstRow="1" w:lastRow="0" w:firstColumn="1" w:lastColumn="0" w:noHBand="0" w:noVBand="1"/>
      </w:tblPr>
      <w:tblGrid>
        <w:gridCol w:w="9026"/>
      </w:tblGrid>
      <w:tr w:rsidR="0055273D" w14:paraId="68580E7E" w14:textId="77777777" w:rsidTr="0055273D">
        <w:trPr>
          <w:hidden/>
        </w:trPr>
        <w:tc>
          <w:tcPr>
            <w:tcW w:w="0" w:type="auto"/>
            <w:tcMar>
              <w:top w:w="270" w:type="dxa"/>
              <w:left w:w="270" w:type="dxa"/>
              <w:bottom w:w="270" w:type="dxa"/>
              <w:right w:w="270" w:type="dxa"/>
            </w:tcMar>
            <w:vAlign w:val="center"/>
            <w:hideMark/>
          </w:tcPr>
          <w:tbl>
            <w:tblPr>
              <w:tblW w:w="5000" w:type="pct"/>
              <w:tblBorders>
                <w:top w:val="single" w:sz="6" w:space="0" w:color="DAA520"/>
              </w:tblBorders>
              <w:tblCellMar>
                <w:left w:w="0" w:type="dxa"/>
                <w:right w:w="0" w:type="dxa"/>
              </w:tblCellMar>
              <w:tblLook w:val="04A0" w:firstRow="1" w:lastRow="0" w:firstColumn="1" w:lastColumn="0" w:noHBand="0" w:noVBand="1"/>
            </w:tblPr>
            <w:tblGrid>
              <w:gridCol w:w="8486"/>
            </w:tblGrid>
            <w:tr w:rsidR="0055273D" w14:paraId="1568CF84" w14:textId="77777777">
              <w:trPr>
                <w:hidden/>
              </w:trPr>
              <w:tc>
                <w:tcPr>
                  <w:tcW w:w="0" w:type="auto"/>
                  <w:tcBorders>
                    <w:top w:val="single" w:sz="6" w:space="0" w:color="DAA520"/>
                    <w:left w:val="nil"/>
                    <w:bottom w:val="nil"/>
                    <w:right w:val="nil"/>
                  </w:tcBorders>
                  <w:vAlign w:val="center"/>
                  <w:hideMark/>
                </w:tcPr>
                <w:p w14:paraId="79323003" w14:textId="77777777" w:rsidR="0055273D" w:rsidRDefault="0055273D">
                  <w:pPr>
                    <w:rPr>
                      <w:rFonts w:eastAsia="Times New Roman"/>
                      <w:vanish/>
                      <w:lang w:val="en-BE"/>
                    </w:rPr>
                  </w:pPr>
                </w:p>
              </w:tc>
            </w:tr>
          </w:tbl>
          <w:p w14:paraId="70EDA822" w14:textId="77777777" w:rsidR="0055273D" w:rsidRDefault="0055273D">
            <w:pPr>
              <w:rPr>
                <w:rFonts w:eastAsia="Times New Roman" w:cs="Times New Roman"/>
                <w:sz w:val="20"/>
                <w:szCs w:val="20"/>
              </w:rPr>
            </w:pPr>
          </w:p>
        </w:tc>
      </w:tr>
    </w:tbl>
    <w:p w14:paraId="1530F894" w14:textId="77777777" w:rsidR="0055273D" w:rsidRDefault="0055273D" w:rsidP="0055273D">
      <w:pPr>
        <w:rPr>
          <w:rFonts w:ascii="Calibri" w:eastAsia="Times New Roman" w:hAnsi="Calibri" w:cs="Calibri"/>
          <w:vanish/>
          <w:sz w:val="22"/>
          <w:szCs w:val="22"/>
          <w:lang w:val="en-BE"/>
        </w:rPr>
      </w:pPr>
    </w:p>
    <w:tbl>
      <w:tblPr>
        <w:tblW w:w="5000" w:type="pct"/>
        <w:tblCellMar>
          <w:left w:w="0" w:type="dxa"/>
          <w:right w:w="0" w:type="dxa"/>
        </w:tblCellMar>
        <w:tblLook w:val="04A0" w:firstRow="1" w:lastRow="0" w:firstColumn="1" w:lastColumn="0" w:noHBand="0" w:noVBand="1"/>
      </w:tblPr>
      <w:tblGrid>
        <w:gridCol w:w="9026"/>
      </w:tblGrid>
      <w:tr w:rsidR="0055273D" w14:paraId="11372306" w14:textId="77777777" w:rsidTr="0055273D">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513"/>
              <w:gridCol w:w="4513"/>
            </w:tblGrid>
            <w:tr w:rsidR="0055273D" w14:paraId="06603D8E" w14:textId="77777777">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13"/>
                  </w:tblGrid>
                  <w:tr w:rsidR="0055273D" w14:paraId="374DE51B" w14:textId="77777777">
                    <w:tc>
                      <w:tcPr>
                        <w:tcW w:w="0" w:type="auto"/>
                        <w:tcMar>
                          <w:top w:w="0" w:type="dxa"/>
                          <w:left w:w="270" w:type="dxa"/>
                          <w:bottom w:w="135" w:type="dxa"/>
                          <w:right w:w="270" w:type="dxa"/>
                        </w:tcMar>
                        <w:hideMark/>
                      </w:tcPr>
                      <w:p w14:paraId="12BD0276" w14:textId="17E5EB67" w:rsidR="0055273D" w:rsidRDefault="0055273D">
                        <w:pPr>
                          <w:pStyle w:val="Heading3"/>
                          <w:rPr>
                            <w:rFonts w:eastAsia="Times New Roman"/>
                          </w:rPr>
                        </w:pPr>
                        <w:proofErr w:type="spellStart"/>
                        <w:r>
                          <w:rPr>
                            <w:rStyle w:val="Strong"/>
                            <w:rFonts w:eastAsia="Times New Roman"/>
                            <w:b/>
                            <w:bCs/>
                            <w:color w:val="000080"/>
                          </w:rPr>
                          <w:t>Objavljen</w:t>
                        </w:r>
                        <w:proofErr w:type="spellEnd"/>
                        <w:r>
                          <w:rPr>
                            <w:rStyle w:val="Strong"/>
                            <w:rFonts w:eastAsia="Times New Roman"/>
                            <w:b/>
                            <w:bCs/>
                            <w:color w:val="000080"/>
                          </w:rPr>
                          <w:t xml:space="preserve"> je </w:t>
                        </w:r>
                        <w:proofErr w:type="spellStart"/>
                        <w:r>
                          <w:rPr>
                            <w:rStyle w:val="Strong"/>
                            <w:rFonts w:eastAsia="Times New Roman"/>
                            <w:b/>
                            <w:bCs/>
                            <w:color w:val="000080"/>
                          </w:rPr>
                          <w:t>razpis</w:t>
                        </w:r>
                        <w:proofErr w:type="spellEnd"/>
                        <w:r>
                          <w:rPr>
                            <w:rStyle w:val="Strong"/>
                            <w:rFonts w:eastAsia="Times New Roman"/>
                            <w:b/>
                            <w:bCs/>
                            <w:color w:val="000080"/>
                          </w:rPr>
                          <w:t xml:space="preserve"> </w:t>
                        </w:r>
                        <w:proofErr w:type="spellStart"/>
                        <w:r>
                          <w:rPr>
                            <w:rStyle w:val="Strong"/>
                            <w:rFonts w:eastAsia="Times New Roman"/>
                            <w:b/>
                            <w:bCs/>
                            <w:color w:val="000080"/>
                          </w:rPr>
                          <w:t>Evropska</w:t>
                        </w:r>
                        <w:proofErr w:type="spellEnd"/>
                        <w:r>
                          <w:rPr>
                            <w:rStyle w:val="Strong"/>
                            <w:rFonts w:eastAsia="Times New Roman"/>
                            <w:b/>
                            <w:bCs/>
                            <w:color w:val="000080"/>
                          </w:rPr>
                          <w:t xml:space="preserve"> </w:t>
                        </w:r>
                        <w:proofErr w:type="spellStart"/>
                        <w:r>
                          <w:rPr>
                            <w:rStyle w:val="Strong"/>
                            <w:rFonts w:eastAsia="Times New Roman"/>
                            <w:b/>
                            <w:bCs/>
                            <w:color w:val="000080"/>
                          </w:rPr>
                          <w:t>solidarnostna</w:t>
                        </w:r>
                        <w:proofErr w:type="spellEnd"/>
                        <w:r>
                          <w:rPr>
                            <w:rStyle w:val="Strong"/>
                            <w:rFonts w:eastAsia="Times New Roman"/>
                            <w:b/>
                            <w:bCs/>
                            <w:color w:val="000080"/>
                          </w:rPr>
                          <w:t xml:space="preserve"> </w:t>
                        </w:r>
                        <w:proofErr w:type="spellStart"/>
                        <w:r>
                          <w:rPr>
                            <w:rStyle w:val="Strong"/>
                            <w:rFonts w:eastAsia="Times New Roman"/>
                            <w:b/>
                            <w:bCs/>
                            <w:color w:val="000080"/>
                          </w:rPr>
                          <w:t>enota</w:t>
                        </w:r>
                        <w:proofErr w:type="spellEnd"/>
                        <w:r>
                          <w:rPr>
                            <w:rStyle w:val="Strong"/>
                            <w:rFonts w:eastAsia="Times New Roman"/>
                            <w:b/>
                            <w:bCs/>
                            <w:color w:val="000080"/>
                          </w:rPr>
                          <w:t xml:space="preserve"> za </w:t>
                        </w:r>
                        <w:proofErr w:type="spellStart"/>
                        <w:r>
                          <w:rPr>
                            <w:rStyle w:val="Strong"/>
                            <w:rFonts w:eastAsia="Times New Roman"/>
                            <w:b/>
                            <w:bCs/>
                            <w:color w:val="000080"/>
                          </w:rPr>
                          <w:t>leto</w:t>
                        </w:r>
                        <w:proofErr w:type="spellEnd"/>
                        <w:r>
                          <w:rPr>
                            <w:rStyle w:val="Strong"/>
                            <w:rFonts w:eastAsia="Times New Roman"/>
                            <w:b/>
                            <w:bCs/>
                            <w:color w:val="000080"/>
                          </w:rPr>
                          <w:t xml:space="preserve"> 2022</w:t>
                        </w:r>
                        <w:r>
                          <w:rPr>
                            <w:rFonts w:eastAsia="Times New Roman"/>
                          </w:rPr>
                          <w:br/>
                        </w:r>
                        <w:r>
                          <w:rPr>
                            <w:rFonts w:eastAsia="Times New Roman"/>
                          </w:rPr>
                          <w:br/>
                        </w:r>
                        <w:r>
                          <w:rPr>
                            <w:rFonts w:eastAsia="Times New Roman"/>
                          </w:rPr>
                          <w:lastRenderedPageBreak/>
                          <w:br/>
                        </w:r>
                        <w:r>
                          <w:rPr>
                            <w:rFonts w:eastAsia="Times New Roman"/>
                            <w:noProof/>
                          </w:rPr>
                          <w:drawing>
                            <wp:inline distT="0" distB="0" distL="0" distR="0" wp14:anchorId="3D7F618C" wp14:editId="22FE7BF3">
                              <wp:extent cx="2540000" cy="1022350"/>
                              <wp:effectExtent l="0" t="0" r="0" b="6350"/>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000" cy="1022350"/>
                                      </a:xfrm>
                                      <a:prstGeom prst="rect">
                                        <a:avLst/>
                                      </a:prstGeom>
                                      <a:noFill/>
                                      <a:ln>
                                        <a:noFill/>
                                      </a:ln>
                                    </pic:spPr>
                                  </pic:pic>
                                </a:graphicData>
                              </a:graphic>
                            </wp:inline>
                          </w:drawing>
                        </w:r>
                      </w:p>
                      <w:p w14:paraId="78142149" w14:textId="77777777" w:rsidR="0055273D" w:rsidRDefault="0055273D">
                        <w:pPr>
                          <w:spacing w:line="360" w:lineRule="auto"/>
                          <w:jc w:val="both"/>
                          <w:rPr>
                            <w:rFonts w:ascii="Helvetica" w:eastAsia="Times New Roman" w:hAnsi="Helvetica"/>
                            <w:color w:val="606060"/>
                            <w:sz w:val="23"/>
                            <w:szCs w:val="23"/>
                          </w:rPr>
                        </w:pPr>
                        <w:r>
                          <w:rPr>
                            <w:rStyle w:val="Strong"/>
                            <w:rFonts w:ascii="Arial" w:eastAsia="Times New Roman" w:hAnsi="Arial"/>
                            <w:color w:val="606060"/>
                            <w:sz w:val="18"/>
                            <w:szCs w:val="18"/>
                          </w:rPr>
                          <w:t>Evropska komisija je objavila razpis v okviru programa Evropska solidarnostna enota za leto 2022. Na voljo je 138,8 milijona evrov. Rok za oddajo prijav je 23. februar 2022.</w:t>
                        </w:r>
                        <w:r>
                          <w:rPr>
                            <w:rFonts w:ascii="Arial" w:eastAsia="Times New Roman" w:hAnsi="Arial"/>
                            <w:b/>
                            <w:bCs/>
                            <w:color w:val="606060"/>
                            <w:sz w:val="18"/>
                            <w:szCs w:val="18"/>
                          </w:rPr>
                          <w:br/>
                        </w:r>
                        <w:r>
                          <w:rPr>
                            <w:rStyle w:val="Strong"/>
                            <w:rFonts w:ascii="Arial" w:eastAsia="Times New Roman" w:hAnsi="Arial"/>
                            <w:color w:val="606060"/>
                            <w:sz w:val="18"/>
                            <w:szCs w:val="18"/>
                          </w:rPr>
                          <w:t> </w:t>
                        </w:r>
                        <w:r>
                          <w:rPr>
                            <w:rFonts w:ascii="Arial" w:eastAsia="Times New Roman" w:hAnsi="Arial"/>
                            <w:b/>
                            <w:bCs/>
                            <w:color w:val="606060"/>
                            <w:sz w:val="18"/>
                            <w:szCs w:val="18"/>
                          </w:rPr>
                          <w:br/>
                        </w:r>
                        <w:r>
                          <w:rPr>
                            <w:rStyle w:val="Strong"/>
                            <w:rFonts w:ascii="Arial" w:eastAsia="Times New Roman" w:hAnsi="Arial"/>
                            <w:color w:val="606060"/>
                            <w:sz w:val="18"/>
                            <w:szCs w:val="18"/>
                          </w:rPr>
                          <w:t>Več:</w:t>
                        </w:r>
                        <w:r>
                          <w:rPr>
                            <w:rFonts w:ascii="Arial" w:eastAsia="Times New Roman" w:hAnsi="Arial"/>
                            <w:b/>
                            <w:bCs/>
                            <w:color w:val="606060"/>
                            <w:sz w:val="18"/>
                            <w:szCs w:val="18"/>
                          </w:rPr>
                          <w:br/>
                        </w:r>
                        <w:hyperlink r:id="rId10" w:history="1">
                          <w:r>
                            <w:rPr>
                              <w:rStyle w:val="Hyperlink"/>
                              <w:rFonts w:ascii="Arial" w:eastAsia="Times New Roman" w:hAnsi="Arial"/>
                              <w:color w:val="DAA520"/>
                              <w:sz w:val="18"/>
                              <w:szCs w:val="18"/>
                            </w:rPr>
                            <w:t>Razpis</w:t>
                          </w:r>
                        </w:hyperlink>
                      </w:p>
                    </w:tc>
                  </w:tr>
                </w:tbl>
                <w:p w14:paraId="425B12C0" w14:textId="77777777" w:rsidR="0055273D" w:rsidRDefault="0055273D">
                  <w:pPr>
                    <w:rPr>
                      <w:rFonts w:eastAsia="Times New Roman" w:cs="Times New Roman"/>
                      <w:sz w:val="20"/>
                      <w:szCs w:val="20"/>
                    </w:rPr>
                  </w:pPr>
                </w:p>
              </w:tc>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13"/>
                  </w:tblGrid>
                  <w:tr w:rsidR="0055273D" w14:paraId="12F8124D" w14:textId="77777777">
                    <w:tc>
                      <w:tcPr>
                        <w:tcW w:w="0" w:type="auto"/>
                        <w:tcMar>
                          <w:top w:w="0" w:type="dxa"/>
                          <w:left w:w="270" w:type="dxa"/>
                          <w:bottom w:w="135" w:type="dxa"/>
                          <w:right w:w="270" w:type="dxa"/>
                        </w:tcMar>
                        <w:hideMark/>
                      </w:tcPr>
                      <w:p w14:paraId="3AEB36B4" w14:textId="77777777" w:rsidR="0055273D" w:rsidRDefault="0055273D">
                        <w:pPr>
                          <w:pStyle w:val="Heading3"/>
                          <w:rPr>
                            <w:rFonts w:eastAsia="Times New Roman"/>
                          </w:rPr>
                        </w:pPr>
                        <w:proofErr w:type="spellStart"/>
                        <w:r>
                          <w:rPr>
                            <w:rStyle w:val="Strong"/>
                            <w:rFonts w:eastAsia="Times New Roman"/>
                            <w:b/>
                            <w:bCs/>
                            <w:color w:val="000080"/>
                          </w:rPr>
                          <w:lastRenderedPageBreak/>
                          <w:t>Javno</w:t>
                        </w:r>
                        <w:proofErr w:type="spellEnd"/>
                        <w:r>
                          <w:rPr>
                            <w:rStyle w:val="Strong"/>
                            <w:rFonts w:eastAsia="Times New Roman"/>
                            <w:b/>
                            <w:bCs/>
                            <w:color w:val="000080"/>
                          </w:rPr>
                          <w:t xml:space="preserve"> </w:t>
                        </w:r>
                        <w:proofErr w:type="spellStart"/>
                        <w:r>
                          <w:rPr>
                            <w:rStyle w:val="Strong"/>
                            <w:rFonts w:eastAsia="Times New Roman"/>
                            <w:b/>
                            <w:bCs/>
                            <w:color w:val="000080"/>
                          </w:rPr>
                          <w:t>posvetovanje</w:t>
                        </w:r>
                        <w:proofErr w:type="spellEnd"/>
                        <w:r>
                          <w:rPr>
                            <w:rStyle w:val="Strong"/>
                            <w:rFonts w:eastAsia="Times New Roman"/>
                            <w:b/>
                            <w:bCs/>
                            <w:color w:val="000080"/>
                          </w:rPr>
                          <w:t xml:space="preserve"> o </w:t>
                        </w:r>
                        <w:proofErr w:type="spellStart"/>
                        <w:r>
                          <w:rPr>
                            <w:rStyle w:val="Strong"/>
                            <w:rFonts w:eastAsia="Times New Roman"/>
                            <w:b/>
                            <w:bCs/>
                            <w:color w:val="000080"/>
                          </w:rPr>
                          <w:t>poenostavitvi</w:t>
                        </w:r>
                        <w:proofErr w:type="spellEnd"/>
                        <w:r>
                          <w:rPr>
                            <w:rStyle w:val="Strong"/>
                            <w:rFonts w:eastAsia="Times New Roman"/>
                            <w:b/>
                            <w:bCs/>
                            <w:color w:val="000080"/>
                          </w:rPr>
                          <w:t xml:space="preserve"> in </w:t>
                        </w:r>
                        <w:proofErr w:type="spellStart"/>
                        <w:r>
                          <w:rPr>
                            <w:rStyle w:val="Strong"/>
                            <w:rFonts w:eastAsia="Times New Roman"/>
                            <w:b/>
                            <w:bCs/>
                            <w:color w:val="000080"/>
                          </w:rPr>
                          <w:t>digitalizaciji</w:t>
                        </w:r>
                        <w:proofErr w:type="spellEnd"/>
                        <w:r>
                          <w:rPr>
                            <w:rStyle w:val="Strong"/>
                            <w:rFonts w:eastAsia="Times New Roman"/>
                            <w:b/>
                            <w:bCs/>
                            <w:color w:val="000080"/>
                          </w:rPr>
                          <w:t xml:space="preserve"> </w:t>
                        </w:r>
                        <w:proofErr w:type="spellStart"/>
                        <w:r>
                          <w:rPr>
                            <w:rStyle w:val="Strong"/>
                            <w:rFonts w:eastAsia="Times New Roman"/>
                            <w:b/>
                            <w:bCs/>
                            <w:color w:val="000080"/>
                          </w:rPr>
                          <w:t>zahtev</w:t>
                        </w:r>
                        <w:proofErr w:type="spellEnd"/>
                        <w:r>
                          <w:rPr>
                            <w:rStyle w:val="Strong"/>
                            <w:rFonts w:eastAsia="Times New Roman"/>
                            <w:b/>
                            <w:bCs/>
                            <w:color w:val="000080"/>
                          </w:rPr>
                          <w:t xml:space="preserve"> za </w:t>
                        </w:r>
                        <w:proofErr w:type="spellStart"/>
                        <w:r>
                          <w:rPr>
                            <w:rStyle w:val="Strong"/>
                            <w:rFonts w:eastAsia="Times New Roman"/>
                            <w:b/>
                            <w:bCs/>
                            <w:color w:val="000080"/>
                          </w:rPr>
                          <w:t>označevanje</w:t>
                        </w:r>
                        <w:proofErr w:type="spellEnd"/>
                        <w:r>
                          <w:rPr>
                            <w:rStyle w:val="Strong"/>
                            <w:rFonts w:eastAsia="Times New Roman"/>
                            <w:b/>
                            <w:bCs/>
                            <w:color w:val="000080"/>
                          </w:rPr>
                          <w:t xml:space="preserve"> </w:t>
                        </w:r>
                        <w:proofErr w:type="spellStart"/>
                        <w:r>
                          <w:rPr>
                            <w:rStyle w:val="Strong"/>
                            <w:rFonts w:eastAsia="Times New Roman"/>
                            <w:b/>
                            <w:bCs/>
                            <w:color w:val="000080"/>
                          </w:rPr>
                          <w:t>kemijskih</w:t>
                        </w:r>
                        <w:proofErr w:type="spellEnd"/>
                        <w:r>
                          <w:rPr>
                            <w:rStyle w:val="Strong"/>
                            <w:rFonts w:eastAsia="Times New Roman"/>
                            <w:b/>
                            <w:bCs/>
                            <w:color w:val="000080"/>
                          </w:rPr>
                          <w:t xml:space="preserve"> </w:t>
                        </w:r>
                        <w:proofErr w:type="spellStart"/>
                        <w:r>
                          <w:rPr>
                            <w:rStyle w:val="Strong"/>
                            <w:rFonts w:eastAsia="Times New Roman"/>
                            <w:b/>
                            <w:bCs/>
                            <w:color w:val="000080"/>
                          </w:rPr>
                          <w:t>proizvodov</w:t>
                        </w:r>
                        <w:proofErr w:type="spellEnd"/>
                      </w:p>
                      <w:p w14:paraId="6C9E60E5" w14:textId="63CD7140" w:rsidR="0055273D" w:rsidRDefault="0055273D">
                        <w:pPr>
                          <w:spacing w:line="360" w:lineRule="auto"/>
                          <w:jc w:val="both"/>
                          <w:rPr>
                            <w:rFonts w:ascii="Helvetica" w:eastAsia="Times New Roman" w:hAnsi="Helvetica"/>
                            <w:color w:val="606060"/>
                            <w:sz w:val="23"/>
                            <w:szCs w:val="23"/>
                          </w:rPr>
                        </w:pPr>
                        <w:r>
                          <w:rPr>
                            <w:rFonts w:ascii="Arial" w:eastAsia="Times New Roman" w:hAnsi="Arial"/>
                            <w:b/>
                            <w:bCs/>
                            <w:noProof/>
                            <w:color w:val="606060"/>
                            <w:sz w:val="18"/>
                            <w:szCs w:val="18"/>
                          </w:rPr>
                          <w:lastRenderedPageBreak/>
                          <w:drawing>
                            <wp:inline distT="0" distB="0" distL="0" distR="0" wp14:anchorId="5ACE0363" wp14:editId="1E6A01A2">
                              <wp:extent cx="2540000" cy="1022350"/>
                              <wp:effectExtent l="0" t="0" r="0" b="6350"/>
                              <wp:docPr id="7" name="Picture 7" descr="A picture containing text, bottle, emp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bottle, empt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0" cy="1022350"/>
                                      </a:xfrm>
                                      <a:prstGeom prst="rect">
                                        <a:avLst/>
                                      </a:prstGeom>
                                      <a:noFill/>
                                      <a:ln>
                                        <a:noFill/>
                                      </a:ln>
                                    </pic:spPr>
                                  </pic:pic>
                                </a:graphicData>
                              </a:graphic>
                            </wp:inline>
                          </w:drawing>
                        </w:r>
                        <w:r>
                          <w:rPr>
                            <w:rFonts w:ascii="Arial" w:eastAsia="Times New Roman" w:hAnsi="Arial"/>
                            <w:b/>
                            <w:bCs/>
                            <w:color w:val="606060"/>
                            <w:sz w:val="18"/>
                            <w:szCs w:val="18"/>
                          </w:rPr>
                          <w:br/>
                        </w:r>
                        <w:r>
                          <w:rPr>
                            <w:rStyle w:val="Strong"/>
                            <w:rFonts w:ascii="Arial" w:eastAsia="Times New Roman" w:hAnsi="Arial"/>
                            <w:color w:val="606060"/>
                            <w:sz w:val="18"/>
                            <w:szCs w:val="18"/>
                          </w:rPr>
                          <w:t>Evropska komisija do 16. februarja 2022 prek javnega posvetovanja zbira mnenja in predloge o poenostavitvi in digitalizaciji zahtev za označevanje kemijskih proizvodov, kot so lepila, detergenti za pranje perila in pomivanje posode ter sredstva za gnojenje.</w:t>
                        </w:r>
                        <w:r>
                          <w:rPr>
                            <w:rFonts w:ascii="Arial" w:eastAsia="Times New Roman" w:hAnsi="Arial"/>
                            <w:b/>
                            <w:bCs/>
                            <w:color w:val="606060"/>
                            <w:sz w:val="18"/>
                            <w:szCs w:val="18"/>
                          </w:rPr>
                          <w:br/>
                        </w:r>
                        <w:r>
                          <w:rPr>
                            <w:rStyle w:val="Strong"/>
                            <w:rFonts w:ascii="Arial" w:eastAsia="Times New Roman" w:hAnsi="Arial"/>
                            <w:color w:val="606060"/>
                            <w:sz w:val="18"/>
                            <w:szCs w:val="18"/>
                          </w:rPr>
                          <w:t> </w:t>
                        </w:r>
                        <w:r>
                          <w:rPr>
                            <w:rFonts w:ascii="Arial" w:eastAsia="Times New Roman" w:hAnsi="Arial"/>
                            <w:b/>
                            <w:bCs/>
                            <w:color w:val="606060"/>
                            <w:sz w:val="18"/>
                            <w:szCs w:val="18"/>
                          </w:rPr>
                          <w:br/>
                        </w:r>
                        <w:r>
                          <w:rPr>
                            <w:rStyle w:val="Strong"/>
                            <w:rFonts w:ascii="Arial" w:eastAsia="Times New Roman" w:hAnsi="Arial"/>
                            <w:color w:val="606060"/>
                            <w:sz w:val="18"/>
                            <w:szCs w:val="18"/>
                          </w:rPr>
                          <w:t>Več:</w:t>
                        </w:r>
                        <w:r>
                          <w:rPr>
                            <w:rFonts w:ascii="Arial" w:eastAsia="Times New Roman" w:hAnsi="Arial"/>
                            <w:b/>
                            <w:bCs/>
                            <w:color w:val="606060"/>
                            <w:sz w:val="18"/>
                            <w:szCs w:val="18"/>
                          </w:rPr>
                          <w:br/>
                        </w:r>
                        <w:hyperlink r:id="rId12" w:history="1">
                          <w:r>
                            <w:rPr>
                              <w:rStyle w:val="Hyperlink"/>
                              <w:rFonts w:ascii="Arial" w:eastAsia="Times New Roman" w:hAnsi="Arial"/>
                              <w:color w:val="DAA520"/>
                              <w:sz w:val="18"/>
                              <w:szCs w:val="18"/>
                            </w:rPr>
                            <w:t>Javno posvetovanje</w:t>
                          </w:r>
                        </w:hyperlink>
                      </w:p>
                    </w:tc>
                  </w:tr>
                </w:tbl>
                <w:p w14:paraId="51E2D708" w14:textId="77777777" w:rsidR="0055273D" w:rsidRDefault="0055273D">
                  <w:pPr>
                    <w:rPr>
                      <w:rFonts w:eastAsia="Times New Roman" w:cs="Times New Roman"/>
                      <w:sz w:val="20"/>
                      <w:szCs w:val="20"/>
                    </w:rPr>
                  </w:pPr>
                </w:p>
              </w:tc>
            </w:tr>
          </w:tbl>
          <w:p w14:paraId="3526166D" w14:textId="77777777" w:rsidR="0055273D" w:rsidRDefault="0055273D">
            <w:pPr>
              <w:rPr>
                <w:rFonts w:eastAsia="Times New Roman" w:cs="Times New Roman"/>
                <w:sz w:val="20"/>
                <w:szCs w:val="20"/>
              </w:rPr>
            </w:pPr>
          </w:p>
        </w:tc>
      </w:tr>
    </w:tbl>
    <w:p w14:paraId="0B476557" w14:textId="77777777" w:rsidR="0055273D" w:rsidRDefault="0055273D" w:rsidP="0055273D">
      <w:pPr>
        <w:rPr>
          <w:rFonts w:ascii="Calibri" w:eastAsia="Times New Roman" w:hAnsi="Calibri" w:cs="Calibri"/>
          <w:vanish/>
          <w:sz w:val="22"/>
          <w:szCs w:val="22"/>
          <w:lang w:val="en-BE"/>
        </w:rPr>
      </w:pPr>
    </w:p>
    <w:tbl>
      <w:tblPr>
        <w:tblW w:w="5000" w:type="pct"/>
        <w:tblCellMar>
          <w:left w:w="0" w:type="dxa"/>
          <w:right w:w="0" w:type="dxa"/>
        </w:tblCellMar>
        <w:tblLook w:val="04A0" w:firstRow="1" w:lastRow="0" w:firstColumn="1" w:lastColumn="0" w:noHBand="0" w:noVBand="1"/>
      </w:tblPr>
      <w:tblGrid>
        <w:gridCol w:w="9026"/>
      </w:tblGrid>
      <w:tr w:rsidR="0055273D" w14:paraId="5568F1B2" w14:textId="77777777" w:rsidTr="0055273D">
        <w:trPr>
          <w:hidden/>
        </w:trPr>
        <w:tc>
          <w:tcPr>
            <w:tcW w:w="0" w:type="auto"/>
            <w:tcMar>
              <w:top w:w="270" w:type="dxa"/>
              <w:left w:w="270" w:type="dxa"/>
              <w:bottom w:w="270" w:type="dxa"/>
              <w:right w:w="270" w:type="dxa"/>
            </w:tcMar>
            <w:vAlign w:val="center"/>
            <w:hideMark/>
          </w:tcPr>
          <w:tbl>
            <w:tblPr>
              <w:tblW w:w="5000" w:type="pct"/>
              <w:tblBorders>
                <w:top w:val="single" w:sz="6" w:space="0" w:color="DAA520"/>
              </w:tblBorders>
              <w:tblCellMar>
                <w:left w:w="0" w:type="dxa"/>
                <w:right w:w="0" w:type="dxa"/>
              </w:tblCellMar>
              <w:tblLook w:val="04A0" w:firstRow="1" w:lastRow="0" w:firstColumn="1" w:lastColumn="0" w:noHBand="0" w:noVBand="1"/>
            </w:tblPr>
            <w:tblGrid>
              <w:gridCol w:w="8486"/>
            </w:tblGrid>
            <w:tr w:rsidR="0055273D" w14:paraId="30A1129B" w14:textId="77777777">
              <w:trPr>
                <w:hidden/>
              </w:trPr>
              <w:tc>
                <w:tcPr>
                  <w:tcW w:w="0" w:type="auto"/>
                  <w:tcBorders>
                    <w:top w:val="single" w:sz="6" w:space="0" w:color="DAA520"/>
                    <w:left w:val="nil"/>
                    <w:bottom w:val="nil"/>
                    <w:right w:val="nil"/>
                  </w:tcBorders>
                  <w:vAlign w:val="center"/>
                  <w:hideMark/>
                </w:tcPr>
                <w:p w14:paraId="4D076B02" w14:textId="77777777" w:rsidR="0055273D" w:rsidRDefault="0055273D">
                  <w:pPr>
                    <w:rPr>
                      <w:rFonts w:eastAsia="Times New Roman"/>
                      <w:vanish/>
                      <w:lang w:val="en-BE"/>
                    </w:rPr>
                  </w:pPr>
                </w:p>
              </w:tc>
            </w:tr>
          </w:tbl>
          <w:p w14:paraId="2E5386D9" w14:textId="77777777" w:rsidR="0055273D" w:rsidRDefault="0055273D">
            <w:pPr>
              <w:rPr>
                <w:rFonts w:eastAsia="Times New Roman" w:cs="Times New Roman"/>
                <w:sz w:val="20"/>
                <w:szCs w:val="20"/>
              </w:rPr>
            </w:pPr>
          </w:p>
        </w:tc>
      </w:tr>
    </w:tbl>
    <w:p w14:paraId="360D22B7" w14:textId="77777777" w:rsidR="0055273D" w:rsidRDefault="0055273D" w:rsidP="0055273D">
      <w:pPr>
        <w:rPr>
          <w:rFonts w:ascii="Calibri" w:eastAsia="Times New Roman" w:hAnsi="Calibri" w:cs="Calibri"/>
          <w:vanish/>
          <w:sz w:val="22"/>
          <w:szCs w:val="22"/>
          <w:lang w:val="en-BE"/>
        </w:rPr>
      </w:pPr>
    </w:p>
    <w:tbl>
      <w:tblPr>
        <w:tblW w:w="5000" w:type="pct"/>
        <w:tblCellMar>
          <w:left w:w="0" w:type="dxa"/>
          <w:right w:w="0" w:type="dxa"/>
        </w:tblCellMar>
        <w:tblLook w:val="04A0" w:firstRow="1" w:lastRow="0" w:firstColumn="1" w:lastColumn="0" w:noHBand="0" w:noVBand="1"/>
      </w:tblPr>
      <w:tblGrid>
        <w:gridCol w:w="9026"/>
      </w:tblGrid>
      <w:tr w:rsidR="0055273D" w14:paraId="61ADE7B1" w14:textId="77777777" w:rsidTr="0055273D">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513"/>
              <w:gridCol w:w="4513"/>
            </w:tblGrid>
            <w:tr w:rsidR="0055273D" w14:paraId="2C5843F9" w14:textId="77777777">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13"/>
                  </w:tblGrid>
                  <w:tr w:rsidR="0055273D" w14:paraId="5881FE48" w14:textId="77777777">
                    <w:tc>
                      <w:tcPr>
                        <w:tcW w:w="0" w:type="auto"/>
                        <w:tcMar>
                          <w:top w:w="0" w:type="dxa"/>
                          <w:left w:w="270" w:type="dxa"/>
                          <w:bottom w:w="135" w:type="dxa"/>
                          <w:right w:w="270" w:type="dxa"/>
                        </w:tcMar>
                        <w:hideMark/>
                      </w:tcPr>
                      <w:p w14:paraId="30F99349" w14:textId="019BF299" w:rsidR="0055273D" w:rsidRDefault="0055273D">
                        <w:pPr>
                          <w:pStyle w:val="Heading3"/>
                          <w:rPr>
                            <w:rFonts w:eastAsia="Times New Roman"/>
                          </w:rPr>
                        </w:pPr>
                        <w:proofErr w:type="spellStart"/>
                        <w:r>
                          <w:rPr>
                            <w:rStyle w:val="Strong"/>
                            <w:rFonts w:eastAsia="Times New Roman"/>
                            <w:b/>
                            <w:bCs/>
                            <w:color w:val="000080"/>
                          </w:rPr>
                          <w:t>Zaključena</w:t>
                        </w:r>
                        <w:proofErr w:type="spellEnd"/>
                        <w:r>
                          <w:rPr>
                            <w:rStyle w:val="Strong"/>
                            <w:rFonts w:eastAsia="Times New Roman"/>
                            <w:b/>
                            <w:bCs/>
                            <w:color w:val="000080"/>
                          </w:rPr>
                          <w:t xml:space="preserve"> so </w:t>
                        </w:r>
                        <w:proofErr w:type="spellStart"/>
                        <w:r>
                          <w:rPr>
                            <w:rStyle w:val="Strong"/>
                            <w:rFonts w:eastAsia="Times New Roman"/>
                            <w:b/>
                            <w:bCs/>
                            <w:color w:val="000080"/>
                          </w:rPr>
                          <w:t>pogajanja</w:t>
                        </w:r>
                        <w:proofErr w:type="spellEnd"/>
                        <w:r>
                          <w:rPr>
                            <w:rStyle w:val="Strong"/>
                            <w:rFonts w:eastAsia="Times New Roman"/>
                            <w:b/>
                            <w:bCs/>
                            <w:color w:val="000080"/>
                          </w:rPr>
                          <w:t xml:space="preserve"> o </w:t>
                        </w:r>
                        <w:proofErr w:type="spellStart"/>
                        <w:r>
                          <w:rPr>
                            <w:rStyle w:val="Strong"/>
                            <w:rFonts w:eastAsia="Times New Roman"/>
                            <w:b/>
                            <w:bCs/>
                            <w:color w:val="000080"/>
                          </w:rPr>
                          <w:t>sporazumu</w:t>
                        </w:r>
                        <w:proofErr w:type="spellEnd"/>
                        <w:r>
                          <w:rPr>
                            <w:rStyle w:val="Strong"/>
                            <w:rFonts w:eastAsia="Times New Roman"/>
                            <w:b/>
                            <w:bCs/>
                            <w:color w:val="000080"/>
                          </w:rPr>
                          <w:t xml:space="preserve"> za </w:t>
                        </w:r>
                        <w:proofErr w:type="spellStart"/>
                        <w:r>
                          <w:rPr>
                            <w:rStyle w:val="Strong"/>
                            <w:rFonts w:eastAsia="Times New Roman"/>
                            <w:b/>
                            <w:bCs/>
                            <w:color w:val="000080"/>
                          </w:rPr>
                          <w:t>zmanjšanje</w:t>
                        </w:r>
                        <w:proofErr w:type="spellEnd"/>
                        <w:r>
                          <w:rPr>
                            <w:rStyle w:val="Strong"/>
                            <w:rFonts w:eastAsia="Times New Roman"/>
                            <w:b/>
                            <w:bCs/>
                            <w:color w:val="000080"/>
                          </w:rPr>
                          <w:t xml:space="preserve"> </w:t>
                        </w:r>
                        <w:proofErr w:type="spellStart"/>
                        <w:r>
                          <w:rPr>
                            <w:rStyle w:val="Strong"/>
                            <w:rFonts w:eastAsia="Times New Roman"/>
                            <w:b/>
                            <w:bCs/>
                            <w:color w:val="000080"/>
                          </w:rPr>
                          <w:t>birokracije</w:t>
                        </w:r>
                        <w:proofErr w:type="spellEnd"/>
                        <w:r>
                          <w:rPr>
                            <w:rStyle w:val="Strong"/>
                            <w:rFonts w:eastAsia="Times New Roman"/>
                            <w:b/>
                            <w:bCs/>
                            <w:color w:val="000080"/>
                          </w:rPr>
                          <w:t xml:space="preserve"> v </w:t>
                        </w:r>
                        <w:proofErr w:type="spellStart"/>
                        <w:r>
                          <w:rPr>
                            <w:rStyle w:val="Strong"/>
                            <w:rFonts w:eastAsia="Times New Roman"/>
                            <w:b/>
                            <w:bCs/>
                            <w:color w:val="000080"/>
                          </w:rPr>
                          <w:t>trgovini</w:t>
                        </w:r>
                        <w:proofErr w:type="spellEnd"/>
                        <w:r>
                          <w:rPr>
                            <w:rStyle w:val="Strong"/>
                            <w:rFonts w:eastAsia="Times New Roman"/>
                            <w:b/>
                            <w:bCs/>
                            <w:color w:val="000080"/>
                          </w:rPr>
                          <w:t xml:space="preserve"> s </w:t>
                        </w:r>
                        <w:proofErr w:type="spellStart"/>
                        <w:r>
                          <w:rPr>
                            <w:rStyle w:val="Strong"/>
                            <w:rFonts w:eastAsia="Times New Roman"/>
                            <w:b/>
                            <w:bCs/>
                            <w:color w:val="000080"/>
                          </w:rPr>
                          <w:t>storitvami</w:t>
                        </w:r>
                        <w:proofErr w:type="spellEnd"/>
                        <w:r>
                          <w:rPr>
                            <w:rFonts w:eastAsia="Times New Roman"/>
                          </w:rPr>
                          <w:br/>
                        </w:r>
                        <w:r>
                          <w:rPr>
                            <w:rFonts w:eastAsia="Times New Roman"/>
                            <w:noProof/>
                          </w:rPr>
                          <w:drawing>
                            <wp:inline distT="0" distB="0" distL="0" distR="0" wp14:anchorId="2C64CA67" wp14:editId="47617A41">
                              <wp:extent cx="2540000" cy="1022350"/>
                              <wp:effectExtent l="0" t="0" r="0" b="635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00" cy="1022350"/>
                                      </a:xfrm>
                                      <a:prstGeom prst="rect">
                                        <a:avLst/>
                                      </a:prstGeom>
                                      <a:noFill/>
                                      <a:ln>
                                        <a:noFill/>
                                      </a:ln>
                                    </pic:spPr>
                                  </pic:pic>
                                </a:graphicData>
                              </a:graphic>
                            </wp:inline>
                          </w:drawing>
                        </w:r>
                      </w:p>
                      <w:p w14:paraId="719411F6" w14:textId="77777777" w:rsidR="0055273D" w:rsidRDefault="0055273D">
                        <w:pPr>
                          <w:spacing w:line="360" w:lineRule="auto"/>
                          <w:jc w:val="both"/>
                          <w:rPr>
                            <w:rFonts w:ascii="Helvetica" w:eastAsia="Times New Roman" w:hAnsi="Helvetica"/>
                            <w:color w:val="606060"/>
                            <w:sz w:val="23"/>
                            <w:szCs w:val="23"/>
                          </w:rPr>
                        </w:pPr>
                        <w:r>
                          <w:rPr>
                            <w:rStyle w:val="Strong"/>
                            <w:rFonts w:ascii="Arial" w:eastAsia="Times New Roman" w:hAnsi="Arial"/>
                            <w:color w:val="606060"/>
                            <w:sz w:val="18"/>
                            <w:szCs w:val="18"/>
                          </w:rPr>
                          <w:t>Članice Svetovne trgovinske organizacije (WTO), vključno z EU, so zaključile pogajanja o sporazumu za zmanjšanje birokracije v trgovini s storitvami. Namen tega sporazuma je poenostavitev nepotrebno zapletenih predpisov, s katerimi se soočajo predvsem mala in srednja podjetja.</w:t>
                        </w:r>
                        <w:r>
                          <w:rPr>
                            <w:rFonts w:ascii="Arial" w:eastAsia="Times New Roman" w:hAnsi="Arial"/>
                            <w:b/>
                            <w:bCs/>
                            <w:color w:val="606060"/>
                            <w:sz w:val="18"/>
                            <w:szCs w:val="18"/>
                          </w:rPr>
                          <w:br/>
                        </w:r>
                        <w:r>
                          <w:rPr>
                            <w:rStyle w:val="Strong"/>
                            <w:rFonts w:ascii="Arial" w:eastAsia="Times New Roman" w:hAnsi="Arial"/>
                            <w:color w:val="606060"/>
                            <w:sz w:val="18"/>
                            <w:szCs w:val="18"/>
                          </w:rPr>
                          <w:t> </w:t>
                        </w:r>
                        <w:r>
                          <w:rPr>
                            <w:rFonts w:ascii="Arial" w:eastAsia="Times New Roman" w:hAnsi="Arial"/>
                            <w:b/>
                            <w:bCs/>
                            <w:color w:val="606060"/>
                            <w:sz w:val="18"/>
                            <w:szCs w:val="18"/>
                          </w:rPr>
                          <w:br/>
                        </w:r>
                        <w:r>
                          <w:rPr>
                            <w:rStyle w:val="Strong"/>
                            <w:rFonts w:ascii="Arial" w:eastAsia="Times New Roman" w:hAnsi="Arial"/>
                            <w:color w:val="606060"/>
                            <w:sz w:val="18"/>
                            <w:szCs w:val="18"/>
                          </w:rPr>
                          <w:t>Več:</w:t>
                        </w:r>
                        <w:r>
                          <w:rPr>
                            <w:rFonts w:ascii="Arial" w:eastAsia="Times New Roman" w:hAnsi="Arial"/>
                            <w:b/>
                            <w:bCs/>
                            <w:color w:val="606060"/>
                            <w:sz w:val="18"/>
                            <w:szCs w:val="18"/>
                          </w:rPr>
                          <w:br/>
                        </w:r>
                        <w:hyperlink r:id="rId14" w:history="1">
                          <w:r>
                            <w:rPr>
                              <w:rStyle w:val="Hyperlink"/>
                              <w:rFonts w:ascii="Arial" w:eastAsia="Times New Roman" w:hAnsi="Arial"/>
                              <w:color w:val="DAA520"/>
                              <w:sz w:val="18"/>
                              <w:szCs w:val="18"/>
                            </w:rPr>
                            <w:t>Izjava o zaključku pogajanj</w:t>
                          </w:r>
                        </w:hyperlink>
                      </w:p>
                    </w:tc>
                  </w:tr>
                </w:tbl>
                <w:p w14:paraId="0E04EA00" w14:textId="77777777" w:rsidR="0055273D" w:rsidRDefault="0055273D">
                  <w:pPr>
                    <w:rPr>
                      <w:rFonts w:eastAsia="Times New Roman" w:cs="Times New Roman"/>
                      <w:sz w:val="20"/>
                      <w:szCs w:val="20"/>
                    </w:rPr>
                  </w:pPr>
                </w:p>
              </w:tc>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13"/>
                  </w:tblGrid>
                  <w:tr w:rsidR="0055273D" w14:paraId="444205A8" w14:textId="77777777">
                    <w:tc>
                      <w:tcPr>
                        <w:tcW w:w="0" w:type="auto"/>
                        <w:tcMar>
                          <w:top w:w="0" w:type="dxa"/>
                          <w:left w:w="270" w:type="dxa"/>
                          <w:bottom w:w="135" w:type="dxa"/>
                          <w:right w:w="270" w:type="dxa"/>
                        </w:tcMar>
                        <w:hideMark/>
                      </w:tcPr>
                      <w:p w14:paraId="6D91AD4E" w14:textId="77777777" w:rsidR="0055273D" w:rsidRDefault="0055273D">
                        <w:pPr>
                          <w:pStyle w:val="Heading3"/>
                          <w:rPr>
                            <w:rFonts w:eastAsia="Times New Roman"/>
                          </w:rPr>
                        </w:pPr>
                        <w:proofErr w:type="spellStart"/>
                        <w:r>
                          <w:rPr>
                            <w:rStyle w:val="Strong"/>
                            <w:rFonts w:eastAsia="Times New Roman"/>
                            <w:b/>
                            <w:bCs/>
                            <w:color w:val="000080"/>
                          </w:rPr>
                          <w:t>Sprejeto</w:t>
                        </w:r>
                        <w:proofErr w:type="spellEnd"/>
                        <w:r>
                          <w:rPr>
                            <w:rStyle w:val="Strong"/>
                            <w:rFonts w:eastAsia="Times New Roman"/>
                            <w:b/>
                            <w:bCs/>
                            <w:color w:val="000080"/>
                          </w:rPr>
                          <w:t xml:space="preserve"> je </w:t>
                        </w:r>
                        <w:proofErr w:type="spellStart"/>
                        <w:r>
                          <w:rPr>
                            <w:rStyle w:val="Strong"/>
                            <w:rFonts w:eastAsia="Times New Roman"/>
                            <w:b/>
                            <w:bCs/>
                            <w:color w:val="000080"/>
                          </w:rPr>
                          <w:t>revidirano</w:t>
                        </w:r>
                        <w:proofErr w:type="spellEnd"/>
                        <w:r>
                          <w:rPr>
                            <w:rStyle w:val="Strong"/>
                            <w:rFonts w:eastAsia="Times New Roman"/>
                            <w:b/>
                            <w:bCs/>
                            <w:color w:val="000080"/>
                          </w:rPr>
                          <w:t xml:space="preserve"> </w:t>
                        </w:r>
                        <w:proofErr w:type="spellStart"/>
                        <w:r>
                          <w:rPr>
                            <w:rStyle w:val="Strong"/>
                            <w:rFonts w:eastAsia="Times New Roman"/>
                            <w:b/>
                            <w:bCs/>
                            <w:color w:val="000080"/>
                          </w:rPr>
                          <w:t>sporočilo</w:t>
                        </w:r>
                        <w:proofErr w:type="spellEnd"/>
                        <w:r>
                          <w:rPr>
                            <w:rStyle w:val="Strong"/>
                            <w:rFonts w:eastAsia="Times New Roman"/>
                            <w:b/>
                            <w:bCs/>
                            <w:color w:val="000080"/>
                          </w:rPr>
                          <w:t xml:space="preserve"> o </w:t>
                        </w:r>
                        <w:proofErr w:type="spellStart"/>
                        <w:r>
                          <w:rPr>
                            <w:rStyle w:val="Strong"/>
                            <w:rFonts w:eastAsia="Times New Roman"/>
                            <w:b/>
                            <w:bCs/>
                            <w:color w:val="000080"/>
                          </w:rPr>
                          <w:t>kratkoročnem</w:t>
                        </w:r>
                        <w:proofErr w:type="spellEnd"/>
                        <w:r>
                          <w:rPr>
                            <w:rStyle w:val="Strong"/>
                            <w:rFonts w:eastAsia="Times New Roman"/>
                            <w:b/>
                            <w:bCs/>
                            <w:color w:val="000080"/>
                          </w:rPr>
                          <w:t xml:space="preserve"> </w:t>
                        </w:r>
                        <w:proofErr w:type="spellStart"/>
                        <w:r>
                          <w:rPr>
                            <w:rStyle w:val="Strong"/>
                            <w:rFonts w:eastAsia="Times New Roman"/>
                            <w:b/>
                            <w:bCs/>
                            <w:color w:val="000080"/>
                          </w:rPr>
                          <w:t>zavarovanju</w:t>
                        </w:r>
                        <w:proofErr w:type="spellEnd"/>
                        <w:r>
                          <w:rPr>
                            <w:rStyle w:val="Strong"/>
                            <w:rFonts w:eastAsia="Times New Roman"/>
                            <w:b/>
                            <w:bCs/>
                            <w:color w:val="000080"/>
                          </w:rPr>
                          <w:t xml:space="preserve"> </w:t>
                        </w:r>
                        <w:proofErr w:type="spellStart"/>
                        <w:r>
                          <w:rPr>
                            <w:rStyle w:val="Strong"/>
                            <w:rFonts w:eastAsia="Times New Roman"/>
                            <w:b/>
                            <w:bCs/>
                            <w:color w:val="000080"/>
                          </w:rPr>
                          <w:t>izvoznih</w:t>
                        </w:r>
                        <w:proofErr w:type="spellEnd"/>
                        <w:r>
                          <w:rPr>
                            <w:rStyle w:val="Strong"/>
                            <w:rFonts w:eastAsia="Times New Roman"/>
                            <w:b/>
                            <w:bCs/>
                            <w:color w:val="000080"/>
                          </w:rPr>
                          <w:t xml:space="preserve"> </w:t>
                        </w:r>
                        <w:proofErr w:type="spellStart"/>
                        <w:r>
                          <w:rPr>
                            <w:rStyle w:val="Strong"/>
                            <w:rFonts w:eastAsia="Times New Roman"/>
                            <w:b/>
                            <w:bCs/>
                            <w:color w:val="000080"/>
                          </w:rPr>
                          <w:t>kreditov</w:t>
                        </w:r>
                        <w:proofErr w:type="spellEnd"/>
                      </w:p>
                      <w:p w14:paraId="08B28918" w14:textId="66923FB4" w:rsidR="0055273D" w:rsidRDefault="0055273D">
                        <w:pPr>
                          <w:spacing w:line="360" w:lineRule="auto"/>
                          <w:jc w:val="both"/>
                          <w:rPr>
                            <w:rFonts w:ascii="Helvetica" w:eastAsia="Times New Roman" w:hAnsi="Helvetica"/>
                            <w:color w:val="606060"/>
                            <w:sz w:val="23"/>
                            <w:szCs w:val="23"/>
                          </w:rPr>
                        </w:pPr>
                        <w:r>
                          <w:rPr>
                            <w:rFonts w:ascii="Arial" w:eastAsia="Times New Roman" w:hAnsi="Arial"/>
                            <w:b/>
                            <w:bCs/>
                            <w:noProof/>
                            <w:color w:val="606060"/>
                            <w:sz w:val="18"/>
                            <w:szCs w:val="18"/>
                          </w:rPr>
                          <w:drawing>
                            <wp:inline distT="0" distB="0" distL="0" distR="0" wp14:anchorId="31B5984D" wp14:editId="2BC2ADCC">
                              <wp:extent cx="2540000" cy="1022350"/>
                              <wp:effectExtent l="0" t="0" r="0" b="635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0" cy="1022350"/>
                                      </a:xfrm>
                                      <a:prstGeom prst="rect">
                                        <a:avLst/>
                                      </a:prstGeom>
                                      <a:noFill/>
                                      <a:ln>
                                        <a:noFill/>
                                      </a:ln>
                                    </pic:spPr>
                                  </pic:pic>
                                </a:graphicData>
                              </a:graphic>
                            </wp:inline>
                          </w:drawing>
                        </w:r>
                        <w:r>
                          <w:rPr>
                            <w:rFonts w:ascii="Arial" w:eastAsia="Times New Roman" w:hAnsi="Arial"/>
                            <w:b/>
                            <w:bCs/>
                            <w:color w:val="606060"/>
                            <w:sz w:val="18"/>
                            <w:szCs w:val="18"/>
                          </w:rPr>
                          <w:br/>
                        </w:r>
                        <w:r>
                          <w:rPr>
                            <w:rStyle w:val="Strong"/>
                            <w:rFonts w:ascii="Arial" w:eastAsia="Times New Roman" w:hAnsi="Arial"/>
                            <w:color w:val="606060"/>
                            <w:sz w:val="18"/>
                            <w:szCs w:val="18"/>
                          </w:rPr>
                          <w:t>Evropska komisija je sprejela revidirano sporočilo o kratkoročnem zavarovanju izvoznih kreditov, ki se bo uporabljalo od 1. januarja 2022.</w:t>
                        </w:r>
                        <w:r>
                          <w:rPr>
                            <w:rFonts w:ascii="Arial" w:eastAsia="Times New Roman" w:hAnsi="Arial"/>
                            <w:b/>
                            <w:bCs/>
                            <w:color w:val="606060"/>
                            <w:sz w:val="18"/>
                            <w:szCs w:val="18"/>
                          </w:rPr>
                          <w:br/>
                        </w:r>
                        <w:r>
                          <w:rPr>
                            <w:rStyle w:val="Strong"/>
                            <w:rFonts w:ascii="Arial" w:eastAsia="Times New Roman" w:hAnsi="Arial"/>
                            <w:color w:val="606060"/>
                            <w:sz w:val="18"/>
                            <w:szCs w:val="18"/>
                          </w:rPr>
                          <w:t> </w:t>
                        </w:r>
                        <w:r>
                          <w:rPr>
                            <w:rFonts w:ascii="Arial" w:eastAsia="Times New Roman" w:hAnsi="Arial"/>
                            <w:b/>
                            <w:bCs/>
                            <w:color w:val="606060"/>
                            <w:sz w:val="18"/>
                            <w:szCs w:val="18"/>
                          </w:rPr>
                          <w:br/>
                        </w:r>
                        <w:r>
                          <w:rPr>
                            <w:rStyle w:val="Strong"/>
                            <w:rFonts w:ascii="Arial" w:eastAsia="Times New Roman" w:hAnsi="Arial"/>
                            <w:color w:val="606060"/>
                            <w:sz w:val="18"/>
                            <w:szCs w:val="18"/>
                          </w:rPr>
                          <w:t>Več:</w:t>
                        </w:r>
                        <w:r>
                          <w:rPr>
                            <w:rFonts w:ascii="Arial" w:eastAsia="Times New Roman" w:hAnsi="Arial"/>
                            <w:b/>
                            <w:bCs/>
                            <w:color w:val="606060"/>
                            <w:sz w:val="18"/>
                            <w:szCs w:val="18"/>
                          </w:rPr>
                          <w:br/>
                        </w:r>
                        <w:hyperlink r:id="rId16" w:history="1">
                          <w:r>
                            <w:rPr>
                              <w:rStyle w:val="Hyperlink"/>
                              <w:rFonts w:ascii="Arial" w:eastAsia="Times New Roman" w:hAnsi="Arial"/>
                              <w:color w:val="DAA520"/>
                              <w:sz w:val="18"/>
                              <w:szCs w:val="18"/>
                            </w:rPr>
                            <w:t>Spletna stran z informacijami o zavarovanju izvoznih kreditov s povezavo na sporočilo</w:t>
                          </w:r>
                        </w:hyperlink>
                      </w:p>
                    </w:tc>
                  </w:tr>
                </w:tbl>
                <w:p w14:paraId="33DFD0C1" w14:textId="77777777" w:rsidR="0055273D" w:rsidRDefault="0055273D">
                  <w:pPr>
                    <w:rPr>
                      <w:rFonts w:eastAsia="Times New Roman" w:cs="Times New Roman"/>
                      <w:sz w:val="20"/>
                      <w:szCs w:val="20"/>
                    </w:rPr>
                  </w:pPr>
                </w:p>
              </w:tc>
            </w:tr>
          </w:tbl>
          <w:p w14:paraId="5134625A" w14:textId="77777777" w:rsidR="0055273D" w:rsidRDefault="0055273D">
            <w:pPr>
              <w:rPr>
                <w:rFonts w:eastAsia="Times New Roman" w:cs="Times New Roman"/>
                <w:sz w:val="20"/>
                <w:szCs w:val="20"/>
              </w:rPr>
            </w:pPr>
          </w:p>
        </w:tc>
      </w:tr>
    </w:tbl>
    <w:p w14:paraId="679E58B3" w14:textId="77777777" w:rsidR="0055273D" w:rsidRDefault="0055273D" w:rsidP="0055273D">
      <w:pPr>
        <w:rPr>
          <w:rFonts w:ascii="Calibri" w:eastAsia="Times New Roman" w:hAnsi="Calibri" w:cs="Calibri"/>
          <w:vanish/>
          <w:sz w:val="22"/>
          <w:szCs w:val="22"/>
          <w:lang w:val="en-BE"/>
        </w:rPr>
      </w:pPr>
    </w:p>
    <w:tbl>
      <w:tblPr>
        <w:tblW w:w="5000" w:type="pct"/>
        <w:tblCellMar>
          <w:left w:w="0" w:type="dxa"/>
          <w:right w:w="0" w:type="dxa"/>
        </w:tblCellMar>
        <w:tblLook w:val="04A0" w:firstRow="1" w:lastRow="0" w:firstColumn="1" w:lastColumn="0" w:noHBand="0" w:noVBand="1"/>
      </w:tblPr>
      <w:tblGrid>
        <w:gridCol w:w="9026"/>
      </w:tblGrid>
      <w:tr w:rsidR="0055273D" w14:paraId="6F0368E0" w14:textId="77777777" w:rsidTr="0055273D">
        <w:trPr>
          <w:hidden/>
        </w:trPr>
        <w:tc>
          <w:tcPr>
            <w:tcW w:w="0" w:type="auto"/>
            <w:tcMar>
              <w:top w:w="270" w:type="dxa"/>
              <w:left w:w="270" w:type="dxa"/>
              <w:bottom w:w="270" w:type="dxa"/>
              <w:right w:w="270" w:type="dxa"/>
            </w:tcMar>
            <w:vAlign w:val="center"/>
            <w:hideMark/>
          </w:tcPr>
          <w:tbl>
            <w:tblPr>
              <w:tblW w:w="5000" w:type="pct"/>
              <w:tblBorders>
                <w:top w:val="single" w:sz="6" w:space="0" w:color="DAA520"/>
              </w:tblBorders>
              <w:tblCellMar>
                <w:left w:w="0" w:type="dxa"/>
                <w:right w:w="0" w:type="dxa"/>
              </w:tblCellMar>
              <w:tblLook w:val="04A0" w:firstRow="1" w:lastRow="0" w:firstColumn="1" w:lastColumn="0" w:noHBand="0" w:noVBand="1"/>
            </w:tblPr>
            <w:tblGrid>
              <w:gridCol w:w="8486"/>
            </w:tblGrid>
            <w:tr w:rsidR="0055273D" w14:paraId="4A3BFE59" w14:textId="77777777">
              <w:trPr>
                <w:hidden/>
              </w:trPr>
              <w:tc>
                <w:tcPr>
                  <w:tcW w:w="0" w:type="auto"/>
                  <w:tcBorders>
                    <w:top w:val="single" w:sz="6" w:space="0" w:color="DAA520"/>
                    <w:left w:val="nil"/>
                    <w:bottom w:val="nil"/>
                    <w:right w:val="nil"/>
                  </w:tcBorders>
                  <w:vAlign w:val="center"/>
                  <w:hideMark/>
                </w:tcPr>
                <w:p w14:paraId="40BDBE58" w14:textId="77777777" w:rsidR="0055273D" w:rsidRDefault="0055273D">
                  <w:pPr>
                    <w:rPr>
                      <w:rFonts w:eastAsia="Times New Roman"/>
                      <w:vanish/>
                      <w:lang w:val="en-BE"/>
                    </w:rPr>
                  </w:pPr>
                </w:p>
              </w:tc>
            </w:tr>
          </w:tbl>
          <w:p w14:paraId="7A998800" w14:textId="77777777" w:rsidR="0055273D" w:rsidRDefault="0055273D">
            <w:pPr>
              <w:rPr>
                <w:rFonts w:eastAsia="Times New Roman" w:cs="Times New Roman"/>
                <w:sz w:val="20"/>
                <w:szCs w:val="20"/>
              </w:rPr>
            </w:pPr>
          </w:p>
        </w:tc>
      </w:tr>
    </w:tbl>
    <w:p w14:paraId="70DB4365" w14:textId="77777777" w:rsidR="0055273D" w:rsidRDefault="0055273D" w:rsidP="0055273D">
      <w:pPr>
        <w:rPr>
          <w:rFonts w:ascii="Calibri" w:eastAsia="Times New Roman" w:hAnsi="Calibri" w:cs="Calibri"/>
          <w:vanish/>
          <w:sz w:val="22"/>
          <w:szCs w:val="22"/>
          <w:lang w:val="en-BE"/>
        </w:rPr>
      </w:pPr>
    </w:p>
    <w:tbl>
      <w:tblPr>
        <w:tblW w:w="5000" w:type="pct"/>
        <w:tblCellMar>
          <w:left w:w="0" w:type="dxa"/>
          <w:right w:w="0" w:type="dxa"/>
        </w:tblCellMar>
        <w:tblLook w:val="04A0" w:firstRow="1" w:lastRow="0" w:firstColumn="1" w:lastColumn="0" w:noHBand="0" w:noVBand="1"/>
      </w:tblPr>
      <w:tblGrid>
        <w:gridCol w:w="9026"/>
      </w:tblGrid>
      <w:tr w:rsidR="0055273D" w14:paraId="38F62922" w14:textId="77777777" w:rsidTr="0055273D">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513"/>
              <w:gridCol w:w="4513"/>
            </w:tblGrid>
            <w:tr w:rsidR="0055273D" w14:paraId="415C4CFF" w14:textId="77777777">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13"/>
                  </w:tblGrid>
                  <w:tr w:rsidR="0055273D" w14:paraId="4B7A293C" w14:textId="77777777">
                    <w:tc>
                      <w:tcPr>
                        <w:tcW w:w="0" w:type="auto"/>
                        <w:tcMar>
                          <w:top w:w="0" w:type="dxa"/>
                          <w:left w:w="270" w:type="dxa"/>
                          <w:bottom w:w="135" w:type="dxa"/>
                          <w:right w:w="270" w:type="dxa"/>
                        </w:tcMar>
                        <w:hideMark/>
                      </w:tcPr>
                      <w:p w14:paraId="26B57ACB" w14:textId="103C5B86" w:rsidR="0055273D" w:rsidRDefault="0055273D">
                        <w:pPr>
                          <w:pStyle w:val="Heading3"/>
                          <w:rPr>
                            <w:rFonts w:eastAsia="Times New Roman"/>
                          </w:rPr>
                        </w:pPr>
                        <w:proofErr w:type="spellStart"/>
                        <w:r>
                          <w:rPr>
                            <w:rStyle w:val="Strong"/>
                            <w:rFonts w:eastAsia="Times New Roman"/>
                            <w:b/>
                            <w:bCs/>
                            <w:color w:val="000080"/>
                          </w:rPr>
                          <w:t>Sklop</w:t>
                        </w:r>
                        <w:proofErr w:type="spellEnd"/>
                        <w:r>
                          <w:rPr>
                            <w:rStyle w:val="Strong"/>
                            <w:rFonts w:eastAsia="Times New Roman"/>
                            <w:b/>
                            <w:bCs/>
                            <w:color w:val="000080"/>
                          </w:rPr>
                          <w:t xml:space="preserve"> </w:t>
                        </w:r>
                        <w:proofErr w:type="spellStart"/>
                        <w:r>
                          <w:rPr>
                            <w:rStyle w:val="Strong"/>
                            <w:rFonts w:eastAsia="Times New Roman"/>
                            <w:b/>
                            <w:bCs/>
                            <w:color w:val="000080"/>
                          </w:rPr>
                          <w:t>ukrepov</w:t>
                        </w:r>
                        <w:proofErr w:type="spellEnd"/>
                        <w:r>
                          <w:rPr>
                            <w:rStyle w:val="Strong"/>
                            <w:rFonts w:eastAsia="Times New Roman"/>
                            <w:b/>
                            <w:bCs/>
                            <w:color w:val="000080"/>
                          </w:rPr>
                          <w:t xml:space="preserve"> za </w:t>
                        </w:r>
                        <w:proofErr w:type="spellStart"/>
                        <w:r>
                          <w:rPr>
                            <w:rStyle w:val="Strong"/>
                            <w:rFonts w:eastAsia="Times New Roman"/>
                            <w:b/>
                            <w:bCs/>
                            <w:color w:val="000080"/>
                          </w:rPr>
                          <w:t>izboljšanje</w:t>
                        </w:r>
                        <w:proofErr w:type="spellEnd"/>
                        <w:r>
                          <w:rPr>
                            <w:rStyle w:val="Strong"/>
                            <w:rFonts w:eastAsia="Times New Roman"/>
                            <w:b/>
                            <w:bCs/>
                            <w:color w:val="000080"/>
                          </w:rPr>
                          <w:t xml:space="preserve"> </w:t>
                        </w:r>
                        <w:proofErr w:type="spellStart"/>
                        <w:r>
                          <w:rPr>
                            <w:rStyle w:val="Strong"/>
                            <w:rFonts w:eastAsia="Times New Roman"/>
                            <w:b/>
                            <w:bCs/>
                            <w:color w:val="000080"/>
                          </w:rPr>
                          <w:t>delovnih</w:t>
                        </w:r>
                        <w:proofErr w:type="spellEnd"/>
                        <w:r>
                          <w:rPr>
                            <w:rStyle w:val="Strong"/>
                            <w:rFonts w:eastAsia="Times New Roman"/>
                            <w:b/>
                            <w:bCs/>
                            <w:color w:val="000080"/>
                          </w:rPr>
                          <w:t xml:space="preserve"> </w:t>
                        </w:r>
                        <w:proofErr w:type="spellStart"/>
                        <w:r>
                          <w:rPr>
                            <w:rStyle w:val="Strong"/>
                            <w:rFonts w:eastAsia="Times New Roman"/>
                            <w:b/>
                            <w:bCs/>
                            <w:color w:val="000080"/>
                          </w:rPr>
                          <w:t>pogojev</w:t>
                        </w:r>
                        <w:proofErr w:type="spellEnd"/>
                        <w:r>
                          <w:rPr>
                            <w:rStyle w:val="Strong"/>
                            <w:rFonts w:eastAsia="Times New Roman"/>
                            <w:b/>
                            <w:bCs/>
                            <w:color w:val="000080"/>
                          </w:rPr>
                          <w:t xml:space="preserve"> </w:t>
                        </w:r>
                        <w:proofErr w:type="spellStart"/>
                        <w:r>
                          <w:rPr>
                            <w:rStyle w:val="Strong"/>
                            <w:rFonts w:eastAsia="Times New Roman"/>
                            <w:b/>
                            <w:bCs/>
                            <w:color w:val="000080"/>
                          </w:rPr>
                          <w:t>pri</w:t>
                        </w:r>
                        <w:proofErr w:type="spellEnd"/>
                        <w:r>
                          <w:rPr>
                            <w:rStyle w:val="Strong"/>
                            <w:rFonts w:eastAsia="Times New Roman"/>
                            <w:b/>
                            <w:bCs/>
                            <w:color w:val="000080"/>
                          </w:rPr>
                          <w:t xml:space="preserve"> </w:t>
                        </w:r>
                        <w:proofErr w:type="spellStart"/>
                        <w:r>
                          <w:rPr>
                            <w:rStyle w:val="Strong"/>
                            <w:rFonts w:eastAsia="Times New Roman"/>
                            <w:b/>
                            <w:bCs/>
                            <w:color w:val="000080"/>
                          </w:rPr>
                          <w:lastRenderedPageBreak/>
                          <w:t>platformnem</w:t>
                        </w:r>
                        <w:proofErr w:type="spellEnd"/>
                        <w:r>
                          <w:rPr>
                            <w:rStyle w:val="Strong"/>
                            <w:rFonts w:eastAsia="Times New Roman"/>
                            <w:b/>
                            <w:bCs/>
                            <w:color w:val="000080"/>
                          </w:rPr>
                          <w:t xml:space="preserve"> </w:t>
                        </w:r>
                        <w:proofErr w:type="spellStart"/>
                        <w:r>
                          <w:rPr>
                            <w:rStyle w:val="Strong"/>
                            <w:rFonts w:eastAsia="Times New Roman"/>
                            <w:b/>
                            <w:bCs/>
                            <w:color w:val="000080"/>
                          </w:rPr>
                          <w:t>delu</w:t>
                        </w:r>
                        <w:proofErr w:type="spellEnd"/>
                        <w:r>
                          <w:rPr>
                            <w:rFonts w:eastAsia="Times New Roman"/>
                          </w:rPr>
                          <w:br/>
                        </w:r>
                        <w:r>
                          <w:rPr>
                            <w:rFonts w:eastAsia="Times New Roman"/>
                            <w:noProof/>
                          </w:rPr>
                          <w:drawing>
                            <wp:inline distT="0" distB="0" distL="0" distR="0" wp14:anchorId="1EA0955F" wp14:editId="7D9D225E">
                              <wp:extent cx="2540000" cy="1022350"/>
                              <wp:effectExtent l="0" t="0" r="0" b="6350"/>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0000" cy="1022350"/>
                                      </a:xfrm>
                                      <a:prstGeom prst="rect">
                                        <a:avLst/>
                                      </a:prstGeom>
                                      <a:noFill/>
                                      <a:ln>
                                        <a:noFill/>
                                      </a:ln>
                                    </pic:spPr>
                                  </pic:pic>
                                </a:graphicData>
                              </a:graphic>
                            </wp:inline>
                          </w:drawing>
                        </w:r>
                      </w:p>
                      <w:p w14:paraId="1B349664" w14:textId="77777777" w:rsidR="0055273D" w:rsidRDefault="0055273D">
                        <w:pPr>
                          <w:spacing w:line="360" w:lineRule="auto"/>
                          <w:jc w:val="both"/>
                          <w:rPr>
                            <w:rFonts w:ascii="Helvetica" w:eastAsia="Times New Roman" w:hAnsi="Helvetica"/>
                            <w:color w:val="606060"/>
                            <w:sz w:val="23"/>
                            <w:szCs w:val="23"/>
                          </w:rPr>
                        </w:pPr>
                        <w:r>
                          <w:rPr>
                            <w:rStyle w:val="Strong"/>
                            <w:rFonts w:ascii="Arial" w:eastAsia="Times New Roman" w:hAnsi="Arial"/>
                            <w:color w:val="606060"/>
                            <w:sz w:val="18"/>
                            <w:szCs w:val="18"/>
                          </w:rPr>
                          <w:t xml:space="preserve">Evropska komisija je predlagala sklop ukrepov za izboljšanje delovnih pogojev pri </w:t>
                        </w:r>
                        <w:proofErr w:type="spellStart"/>
                        <w:r>
                          <w:rPr>
                            <w:rStyle w:val="Strong"/>
                            <w:rFonts w:ascii="Arial" w:eastAsia="Times New Roman" w:hAnsi="Arial"/>
                            <w:color w:val="606060"/>
                            <w:sz w:val="18"/>
                            <w:szCs w:val="18"/>
                          </w:rPr>
                          <w:t>platformnem</w:t>
                        </w:r>
                        <w:proofErr w:type="spellEnd"/>
                        <w:r>
                          <w:rPr>
                            <w:rStyle w:val="Strong"/>
                            <w:rFonts w:ascii="Arial" w:eastAsia="Times New Roman" w:hAnsi="Arial"/>
                            <w:color w:val="606060"/>
                            <w:sz w:val="18"/>
                            <w:szCs w:val="18"/>
                          </w:rPr>
                          <w:t xml:space="preserve"> delu in podporo trajnostni rasti digitalnih platform dela v EU. Sveženj vsebuje sporočilo o pristopu in ukrepih EU na področju </w:t>
                        </w:r>
                        <w:proofErr w:type="spellStart"/>
                        <w:r>
                          <w:rPr>
                            <w:rStyle w:val="Strong"/>
                            <w:rFonts w:ascii="Arial" w:eastAsia="Times New Roman" w:hAnsi="Arial"/>
                            <w:color w:val="606060"/>
                            <w:sz w:val="18"/>
                            <w:szCs w:val="18"/>
                          </w:rPr>
                          <w:t>platformnega</w:t>
                        </w:r>
                        <w:proofErr w:type="spellEnd"/>
                        <w:r>
                          <w:rPr>
                            <w:rStyle w:val="Strong"/>
                            <w:rFonts w:ascii="Arial" w:eastAsia="Times New Roman" w:hAnsi="Arial"/>
                            <w:color w:val="606060"/>
                            <w:sz w:val="18"/>
                            <w:szCs w:val="18"/>
                          </w:rPr>
                          <w:t xml:space="preserve"> dela, predlog direktive o izboljšanju delovnih pogojev pri </w:t>
                        </w:r>
                        <w:proofErr w:type="spellStart"/>
                        <w:r>
                          <w:rPr>
                            <w:rStyle w:val="Strong"/>
                            <w:rFonts w:ascii="Arial" w:eastAsia="Times New Roman" w:hAnsi="Arial"/>
                            <w:color w:val="606060"/>
                            <w:sz w:val="18"/>
                            <w:szCs w:val="18"/>
                          </w:rPr>
                          <w:t>platformnem</w:t>
                        </w:r>
                        <w:proofErr w:type="spellEnd"/>
                        <w:r>
                          <w:rPr>
                            <w:rStyle w:val="Strong"/>
                            <w:rFonts w:ascii="Arial" w:eastAsia="Times New Roman" w:hAnsi="Arial"/>
                            <w:color w:val="606060"/>
                            <w:sz w:val="18"/>
                            <w:szCs w:val="18"/>
                          </w:rPr>
                          <w:t xml:space="preserve"> delu ter osnutek smernic, ki pojasnjujejo uporabo konkurenčnega prava EU.</w:t>
                        </w:r>
                        <w:r>
                          <w:rPr>
                            <w:rFonts w:ascii="Arial" w:eastAsia="Times New Roman" w:hAnsi="Arial"/>
                            <w:b/>
                            <w:bCs/>
                            <w:color w:val="606060"/>
                            <w:sz w:val="18"/>
                            <w:szCs w:val="18"/>
                          </w:rPr>
                          <w:br/>
                        </w:r>
                        <w:r>
                          <w:rPr>
                            <w:rStyle w:val="Strong"/>
                            <w:rFonts w:ascii="Arial" w:eastAsia="Times New Roman" w:hAnsi="Arial"/>
                            <w:color w:val="606060"/>
                            <w:sz w:val="18"/>
                            <w:szCs w:val="18"/>
                          </w:rPr>
                          <w:t> </w:t>
                        </w:r>
                        <w:r>
                          <w:rPr>
                            <w:rFonts w:ascii="Arial" w:eastAsia="Times New Roman" w:hAnsi="Arial"/>
                            <w:b/>
                            <w:bCs/>
                            <w:color w:val="606060"/>
                            <w:sz w:val="18"/>
                            <w:szCs w:val="18"/>
                          </w:rPr>
                          <w:br/>
                        </w:r>
                        <w:r>
                          <w:rPr>
                            <w:rStyle w:val="Strong"/>
                            <w:rFonts w:ascii="Arial" w:eastAsia="Times New Roman" w:hAnsi="Arial"/>
                            <w:color w:val="606060"/>
                            <w:sz w:val="18"/>
                            <w:szCs w:val="18"/>
                          </w:rPr>
                          <w:t>Več:</w:t>
                        </w:r>
                        <w:r>
                          <w:rPr>
                            <w:rFonts w:ascii="Arial" w:eastAsia="Times New Roman" w:hAnsi="Arial"/>
                            <w:b/>
                            <w:bCs/>
                            <w:color w:val="606060"/>
                            <w:sz w:val="18"/>
                            <w:szCs w:val="18"/>
                          </w:rPr>
                          <w:br/>
                        </w:r>
                        <w:hyperlink r:id="rId18" w:history="1">
                          <w:r>
                            <w:rPr>
                              <w:rStyle w:val="Hyperlink"/>
                              <w:rFonts w:ascii="Arial" w:eastAsia="Times New Roman" w:hAnsi="Arial"/>
                              <w:color w:val="DAA520"/>
                              <w:sz w:val="18"/>
                              <w:szCs w:val="18"/>
                            </w:rPr>
                            <w:t>Sporočilo Evropske komisije s povezavo na predloge</w:t>
                          </w:r>
                        </w:hyperlink>
                      </w:p>
                    </w:tc>
                  </w:tr>
                </w:tbl>
                <w:p w14:paraId="288CB166" w14:textId="77777777" w:rsidR="0055273D" w:rsidRDefault="0055273D">
                  <w:pPr>
                    <w:rPr>
                      <w:rFonts w:eastAsia="Times New Roman" w:cs="Times New Roman"/>
                      <w:sz w:val="20"/>
                      <w:szCs w:val="20"/>
                    </w:rPr>
                  </w:pPr>
                </w:p>
              </w:tc>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13"/>
                  </w:tblGrid>
                  <w:tr w:rsidR="0055273D" w14:paraId="26C1B36D" w14:textId="77777777">
                    <w:tc>
                      <w:tcPr>
                        <w:tcW w:w="0" w:type="auto"/>
                        <w:tcMar>
                          <w:top w:w="0" w:type="dxa"/>
                          <w:left w:w="270" w:type="dxa"/>
                          <w:bottom w:w="135" w:type="dxa"/>
                          <w:right w:w="270" w:type="dxa"/>
                        </w:tcMar>
                        <w:hideMark/>
                      </w:tcPr>
                      <w:p w14:paraId="387E5E49" w14:textId="77777777" w:rsidR="0055273D" w:rsidRDefault="0055273D">
                        <w:pPr>
                          <w:pStyle w:val="Heading3"/>
                          <w:rPr>
                            <w:rFonts w:eastAsia="Times New Roman"/>
                          </w:rPr>
                        </w:pPr>
                        <w:proofErr w:type="spellStart"/>
                        <w:r>
                          <w:rPr>
                            <w:rStyle w:val="Strong"/>
                            <w:rFonts w:eastAsia="Times New Roman"/>
                            <w:b/>
                            <w:bCs/>
                            <w:color w:val="000080"/>
                          </w:rPr>
                          <w:lastRenderedPageBreak/>
                          <w:t>Dogovor</w:t>
                        </w:r>
                        <w:proofErr w:type="spellEnd"/>
                        <w:r>
                          <w:rPr>
                            <w:rStyle w:val="Strong"/>
                            <w:rFonts w:eastAsia="Times New Roman"/>
                            <w:b/>
                            <w:bCs/>
                            <w:color w:val="000080"/>
                          </w:rPr>
                          <w:t xml:space="preserve"> o </w:t>
                        </w:r>
                        <w:proofErr w:type="spellStart"/>
                        <w:r>
                          <w:rPr>
                            <w:rStyle w:val="Strong"/>
                            <w:rFonts w:eastAsia="Times New Roman"/>
                            <w:b/>
                            <w:bCs/>
                            <w:color w:val="000080"/>
                          </w:rPr>
                          <w:t>posodobitvi</w:t>
                        </w:r>
                        <w:proofErr w:type="spellEnd"/>
                        <w:r>
                          <w:rPr>
                            <w:rStyle w:val="Strong"/>
                            <w:rFonts w:eastAsia="Times New Roman"/>
                            <w:b/>
                            <w:bCs/>
                            <w:color w:val="000080"/>
                          </w:rPr>
                          <w:t xml:space="preserve"> </w:t>
                        </w:r>
                        <w:proofErr w:type="spellStart"/>
                        <w:r>
                          <w:rPr>
                            <w:rStyle w:val="Strong"/>
                            <w:rFonts w:eastAsia="Times New Roman"/>
                            <w:b/>
                            <w:bCs/>
                            <w:color w:val="000080"/>
                          </w:rPr>
                          <w:t>pravil</w:t>
                        </w:r>
                        <w:proofErr w:type="spellEnd"/>
                        <w:r>
                          <w:rPr>
                            <w:rStyle w:val="Strong"/>
                            <w:rFonts w:eastAsia="Times New Roman"/>
                            <w:b/>
                            <w:bCs/>
                            <w:color w:val="000080"/>
                          </w:rPr>
                          <w:t xml:space="preserve">, ki </w:t>
                        </w:r>
                        <w:proofErr w:type="spellStart"/>
                        <w:r>
                          <w:rPr>
                            <w:rStyle w:val="Strong"/>
                            <w:rFonts w:eastAsia="Times New Roman"/>
                            <w:b/>
                            <w:bCs/>
                            <w:color w:val="000080"/>
                          </w:rPr>
                          <w:t>urejajo</w:t>
                        </w:r>
                        <w:proofErr w:type="spellEnd"/>
                        <w:r>
                          <w:rPr>
                            <w:rStyle w:val="Strong"/>
                            <w:rFonts w:eastAsia="Times New Roman"/>
                            <w:b/>
                            <w:bCs/>
                            <w:color w:val="000080"/>
                          </w:rPr>
                          <w:t xml:space="preserve"> </w:t>
                        </w:r>
                        <w:proofErr w:type="spellStart"/>
                        <w:r>
                          <w:rPr>
                            <w:rStyle w:val="Strong"/>
                            <w:rFonts w:eastAsia="Times New Roman"/>
                            <w:b/>
                            <w:bCs/>
                            <w:color w:val="000080"/>
                          </w:rPr>
                          <w:t>stopnje</w:t>
                        </w:r>
                        <w:proofErr w:type="spellEnd"/>
                        <w:r>
                          <w:rPr>
                            <w:rStyle w:val="Strong"/>
                            <w:rFonts w:eastAsia="Times New Roman"/>
                            <w:b/>
                            <w:bCs/>
                            <w:color w:val="000080"/>
                          </w:rPr>
                          <w:t xml:space="preserve"> DDV</w:t>
                        </w:r>
                      </w:p>
                      <w:p w14:paraId="62F3F441" w14:textId="77777777" w:rsidR="0055273D" w:rsidRDefault="0055273D">
                        <w:pPr>
                          <w:spacing w:line="360" w:lineRule="auto"/>
                          <w:rPr>
                            <w:rFonts w:ascii="Helvetica" w:eastAsia="Times New Roman" w:hAnsi="Helvetica"/>
                            <w:color w:val="606060"/>
                            <w:sz w:val="23"/>
                            <w:szCs w:val="23"/>
                          </w:rPr>
                        </w:pPr>
                        <w:r>
                          <w:rPr>
                            <w:rFonts w:ascii="Helvetica" w:eastAsia="Times New Roman" w:hAnsi="Helvetica"/>
                            <w:color w:val="606060"/>
                            <w:sz w:val="23"/>
                            <w:szCs w:val="23"/>
                          </w:rPr>
                          <w:t xml:space="preserve">  </w:t>
                        </w:r>
                      </w:p>
                      <w:p w14:paraId="43EE445E" w14:textId="223ED5AD" w:rsidR="0055273D" w:rsidRDefault="0055273D">
                        <w:pPr>
                          <w:spacing w:line="360" w:lineRule="auto"/>
                          <w:jc w:val="both"/>
                          <w:rPr>
                            <w:rFonts w:ascii="Helvetica" w:eastAsia="Times New Roman" w:hAnsi="Helvetica"/>
                            <w:color w:val="606060"/>
                            <w:sz w:val="23"/>
                            <w:szCs w:val="23"/>
                          </w:rPr>
                        </w:pPr>
                        <w:r>
                          <w:rPr>
                            <w:rFonts w:ascii="Arial" w:eastAsia="Times New Roman" w:hAnsi="Arial"/>
                            <w:b/>
                            <w:bCs/>
                            <w:noProof/>
                            <w:color w:val="606060"/>
                            <w:sz w:val="18"/>
                            <w:szCs w:val="18"/>
                          </w:rPr>
                          <w:lastRenderedPageBreak/>
                          <w:drawing>
                            <wp:inline distT="0" distB="0" distL="0" distR="0" wp14:anchorId="118F175C" wp14:editId="7693E180">
                              <wp:extent cx="2540000" cy="1022350"/>
                              <wp:effectExtent l="0" t="0" r="0" b="635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0000" cy="1022350"/>
                                      </a:xfrm>
                                      <a:prstGeom prst="rect">
                                        <a:avLst/>
                                      </a:prstGeom>
                                      <a:noFill/>
                                      <a:ln>
                                        <a:noFill/>
                                      </a:ln>
                                    </pic:spPr>
                                  </pic:pic>
                                </a:graphicData>
                              </a:graphic>
                            </wp:inline>
                          </w:drawing>
                        </w:r>
                        <w:r>
                          <w:rPr>
                            <w:rFonts w:ascii="Arial" w:eastAsia="Times New Roman" w:hAnsi="Arial"/>
                            <w:b/>
                            <w:bCs/>
                            <w:color w:val="606060"/>
                            <w:sz w:val="18"/>
                            <w:szCs w:val="18"/>
                          </w:rPr>
                          <w:br/>
                        </w:r>
                        <w:r>
                          <w:rPr>
                            <w:rStyle w:val="Strong"/>
                            <w:rFonts w:ascii="Arial" w:eastAsia="Times New Roman" w:hAnsi="Arial"/>
                            <w:color w:val="606060"/>
                            <w:sz w:val="18"/>
                            <w:szCs w:val="18"/>
                          </w:rPr>
                          <w:t>Finančni ministri EU so se dogovorili o posodobitvi veljavnih pravil, ki urejajo stopnje davka na dodano vrednost (DDV) za blago in storitve. Dogovor vsebuje posodobitev seznama blaga in storitev, za katere lahko vse države članice uporabljajo nižje stopnje DDV, odpravo možnosti (do leta 2030), da uporabljajo nižje stopnje in oprostitve za blago in storitve, ki škodujejo okolju in ciljem EU na področju podnebnih sprememb.</w:t>
                        </w:r>
                        <w:r>
                          <w:rPr>
                            <w:rFonts w:ascii="Arial" w:eastAsia="Times New Roman" w:hAnsi="Arial"/>
                            <w:b/>
                            <w:bCs/>
                            <w:color w:val="606060"/>
                            <w:sz w:val="18"/>
                            <w:szCs w:val="18"/>
                          </w:rPr>
                          <w:br/>
                        </w:r>
                        <w:r>
                          <w:rPr>
                            <w:rStyle w:val="Strong"/>
                            <w:rFonts w:ascii="Arial" w:eastAsia="Times New Roman" w:hAnsi="Arial"/>
                            <w:color w:val="606060"/>
                            <w:sz w:val="18"/>
                            <w:szCs w:val="18"/>
                          </w:rPr>
                          <w:t> </w:t>
                        </w:r>
                        <w:r>
                          <w:rPr>
                            <w:rFonts w:ascii="Arial" w:eastAsia="Times New Roman" w:hAnsi="Arial"/>
                            <w:b/>
                            <w:bCs/>
                            <w:color w:val="606060"/>
                            <w:sz w:val="18"/>
                            <w:szCs w:val="18"/>
                          </w:rPr>
                          <w:br/>
                        </w:r>
                        <w:r>
                          <w:rPr>
                            <w:rStyle w:val="Strong"/>
                            <w:rFonts w:ascii="Arial" w:eastAsia="Times New Roman" w:hAnsi="Arial"/>
                            <w:color w:val="606060"/>
                            <w:sz w:val="18"/>
                            <w:szCs w:val="18"/>
                          </w:rPr>
                          <w:t>Več:</w:t>
                        </w:r>
                        <w:r>
                          <w:rPr>
                            <w:rFonts w:ascii="Arial" w:eastAsia="Times New Roman" w:hAnsi="Arial"/>
                            <w:b/>
                            <w:bCs/>
                            <w:color w:val="606060"/>
                            <w:sz w:val="18"/>
                            <w:szCs w:val="18"/>
                          </w:rPr>
                          <w:br/>
                        </w:r>
                        <w:hyperlink r:id="rId20" w:history="1">
                          <w:r>
                            <w:rPr>
                              <w:rStyle w:val="Hyperlink"/>
                              <w:rFonts w:ascii="Arial" w:eastAsia="Times New Roman" w:hAnsi="Arial"/>
                              <w:color w:val="DAA520"/>
                              <w:sz w:val="18"/>
                              <w:szCs w:val="18"/>
                            </w:rPr>
                            <w:t>Sporočilo Sveta EU</w:t>
                          </w:r>
                        </w:hyperlink>
                      </w:p>
                    </w:tc>
                  </w:tr>
                </w:tbl>
                <w:p w14:paraId="700D17F0" w14:textId="77777777" w:rsidR="0055273D" w:rsidRDefault="0055273D">
                  <w:pPr>
                    <w:rPr>
                      <w:rFonts w:eastAsia="Times New Roman" w:cs="Times New Roman"/>
                      <w:sz w:val="20"/>
                      <w:szCs w:val="20"/>
                    </w:rPr>
                  </w:pPr>
                </w:p>
              </w:tc>
            </w:tr>
          </w:tbl>
          <w:p w14:paraId="0D02A164" w14:textId="77777777" w:rsidR="0055273D" w:rsidRDefault="0055273D">
            <w:pPr>
              <w:rPr>
                <w:rFonts w:eastAsia="Times New Roman" w:cs="Times New Roman"/>
                <w:sz w:val="20"/>
                <w:szCs w:val="20"/>
              </w:rPr>
            </w:pPr>
          </w:p>
        </w:tc>
      </w:tr>
    </w:tbl>
    <w:p w14:paraId="5694D2D8" w14:textId="77777777" w:rsidR="0055273D" w:rsidRDefault="0055273D" w:rsidP="0055273D">
      <w:pPr>
        <w:rPr>
          <w:rFonts w:ascii="Calibri" w:eastAsia="Times New Roman" w:hAnsi="Calibri" w:cs="Calibri"/>
          <w:vanish/>
          <w:sz w:val="22"/>
          <w:szCs w:val="22"/>
          <w:lang w:val="en-BE"/>
        </w:rPr>
      </w:pPr>
    </w:p>
    <w:tbl>
      <w:tblPr>
        <w:tblW w:w="5000" w:type="pct"/>
        <w:tblCellMar>
          <w:left w:w="0" w:type="dxa"/>
          <w:right w:w="0" w:type="dxa"/>
        </w:tblCellMar>
        <w:tblLook w:val="04A0" w:firstRow="1" w:lastRow="0" w:firstColumn="1" w:lastColumn="0" w:noHBand="0" w:noVBand="1"/>
      </w:tblPr>
      <w:tblGrid>
        <w:gridCol w:w="9026"/>
      </w:tblGrid>
      <w:tr w:rsidR="0055273D" w14:paraId="489BE94D" w14:textId="77777777" w:rsidTr="0055273D">
        <w:trPr>
          <w:hidden/>
        </w:trPr>
        <w:tc>
          <w:tcPr>
            <w:tcW w:w="0" w:type="auto"/>
            <w:tcMar>
              <w:top w:w="270" w:type="dxa"/>
              <w:left w:w="270" w:type="dxa"/>
              <w:bottom w:w="270" w:type="dxa"/>
              <w:right w:w="270" w:type="dxa"/>
            </w:tcMar>
            <w:vAlign w:val="center"/>
            <w:hideMark/>
          </w:tcPr>
          <w:tbl>
            <w:tblPr>
              <w:tblW w:w="5000" w:type="pct"/>
              <w:tblBorders>
                <w:top w:val="single" w:sz="6" w:space="0" w:color="DAA520"/>
              </w:tblBorders>
              <w:tblCellMar>
                <w:left w:w="0" w:type="dxa"/>
                <w:right w:w="0" w:type="dxa"/>
              </w:tblCellMar>
              <w:tblLook w:val="04A0" w:firstRow="1" w:lastRow="0" w:firstColumn="1" w:lastColumn="0" w:noHBand="0" w:noVBand="1"/>
            </w:tblPr>
            <w:tblGrid>
              <w:gridCol w:w="8486"/>
            </w:tblGrid>
            <w:tr w:rsidR="0055273D" w14:paraId="3A2BB1B0" w14:textId="77777777">
              <w:trPr>
                <w:hidden/>
              </w:trPr>
              <w:tc>
                <w:tcPr>
                  <w:tcW w:w="0" w:type="auto"/>
                  <w:tcBorders>
                    <w:top w:val="single" w:sz="6" w:space="0" w:color="DAA520"/>
                    <w:left w:val="nil"/>
                    <w:bottom w:val="nil"/>
                    <w:right w:val="nil"/>
                  </w:tcBorders>
                  <w:vAlign w:val="center"/>
                  <w:hideMark/>
                </w:tcPr>
                <w:p w14:paraId="26698BFA" w14:textId="77777777" w:rsidR="0055273D" w:rsidRDefault="0055273D">
                  <w:pPr>
                    <w:rPr>
                      <w:rFonts w:eastAsia="Times New Roman"/>
                      <w:vanish/>
                      <w:lang w:val="en-BE"/>
                    </w:rPr>
                  </w:pPr>
                </w:p>
              </w:tc>
            </w:tr>
          </w:tbl>
          <w:p w14:paraId="394C8BCC" w14:textId="77777777" w:rsidR="0055273D" w:rsidRDefault="0055273D">
            <w:pPr>
              <w:rPr>
                <w:rFonts w:eastAsia="Times New Roman" w:cs="Times New Roman"/>
                <w:sz w:val="20"/>
                <w:szCs w:val="20"/>
              </w:rPr>
            </w:pPr>
          </w:p>
        </w:tc>
      </w:tr>
    </w:tbl>
    <w:p w14:paraId="205200CC" w14:textId="77777777" w:rsidR="0055273D" w:rsidRDefault="0055273D" w:rsidP="0055273D">
      <w:pPr>
        <w:rPr>
          <w:rFonts w:ascii="Calibri" w:eastAsia="Times New Roman" w:hAnsi="Calibri" w:cs="Calibri"/>
          <w:vanish/>
          <w:sz w:val="22"/>
          <w:szCs w:val="22"/>
          <w:lang w:val="en-BE"/>
        </w:rPr>
      </w:pPr>
    </w:p>
    <w:tbl>
      <w:tblPr>
        <w:tblW w:w="5000" w:type="pct"/>
        <w:tblCellMar>
          <w:left w:w="0" w:type="dxa"/>
          <w:right w:w="0" w:type="dxa"/>
        </w:tblCellMar>
        <w:tblLook w:val="04A0" w:firstRow="1" w:lastRow="0" w:firstColumn="1" w:lastColumn="0" w:noHBand="0" w:noVBand="1"/>
      </w:tblPr>
      <w:tblGrid>
        <w:gridCol w:w="9026"/>
      </w:tblGrid>
      <w:tr w:rsidR="0055273D" w14:paraId="5174CC9D" w14:textId="77777777" w:rsidTr="0055273D">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513"/>
              <w:gridCol w:w="4513"/>
            </w:tblGrid>
            <w:tr w:rsidR="0055273D" w14:paraId="7B79AB5E" w14:textId="77777777">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13"/>
                  </w:tblGrid>
                  <w:tr w:rsidR="0055273D" w14:paraId="313461F8" w14:textId="77777777">
                    <w:tc>
                      <w:tcPr>
                        <w:tcW w:w="0" w:type="auto"/>
                        <w:tcMar>
                          <w:top w:w="0" w:type="dxa"/>
                          <w:left w:w="270" w:type="dxa"/>
                          <w:bottom w:w="135" w:type="dxa"/>
                          <w:right w:w="270" w:type="dxa"/>
                        </w:tcMar>
                        <w:hideMark/>
                      </w:tcPr>
                      <w:p w14:paraId="04F55313" w14:textId="06D090FD" w:rsidR="0055273D" w:rsidRDefault="0055273D">
                        <w:pPr>
                          <w:pStyle w:val="Heading3"/>
                          <w:rPr>
                            <w:rFonts w:eastAsia="Times New Roman"/>
                          </w:rPr>
                        </w:pPr>
                        <w:proofErr w:type="spellStart"/>
                        <w:r>
                          <w:rPr>
                            <w:rStyle w:val="Strong"/>
                            <w:rFonts w:eastAsia="Times New Roman"/>
                            <w:b/>
                            <w:bCs/>
                            <w:color w:val="000080"/>
                          </w:rPr>
                          <w:t>Politični</w:t>
                        </w:r>
                        <w:proofErr w:type="spellEnd"/>
                        <w:r>
                          <w:rPr>
                            <w:rStyle w:val="Strong"/>
                            <w:rFonts w:eastAsia="Times New Roman"/>
                            <w:b/>
                            <w:bCs/>
                            <w:color w:val="000080"/>
                          </w:rPr>
                          <w:t xml:space="preserve"> </w:t>
                        </w:r>
                        <w:proofErr w:type="spellStart"/>
                        <w:r>
                          <w:rPr>
                            <w:rStyle w:val="Strong"/>
                            <w:rFonts w:eastAsia="Times New Roman"/>
                            <w:b/>
                            <w:bCs/>
                            <w:color w:val="000080"/>
                          </w:rPr>
                          <w:t>dogovor</w:t>
                        </w:r>
                        <w:proofErr w:type="spellEnd"/>
                        <w:r>
                          <w:rPr>
                            <w:rStyle w:val="Strong"/>
                            <w:rFonts w:eastAsia="Times New Roman"/>
                            <w:b/>
                            <w:bCs/>
                            <w:color w:val="000080"/>
                          </w:rPr>
                          <w:t xml:space="preserve"> o </w:t>
                        </w:r>
                        <w:proofErr w:type="spellStart"/>
                        <w:r>
                          <w:rPr>
                            <w:rStyle w:val="Strong"/>
                            <w:rFonts w:eastAsia="Times New Roman"/>
                            <w:b/>
                            <w:bCs/>
                            <w:color w:val="000080"/>
                          </w:rPr>
                          <w:t>podaljšanju</w:t>
                        </w:r>
                        <w:proofErr w:type="spellEnd"/>
                        <w:r>
                          <w:rPr>
                            <w:rStyle w:val="Strong"/>
                            <w:rFonts w:eastAsia="Times New Roman"/>
                            <w:b/>
                            <w:bCs/>
                            <w:color w:val="000080"/>
                          </w:rPr>
                          <w:t xml:space="preserve"> </w:t>
                        </w:r>
                        <w:proofErr w:type="spellStart"/>
                        <w:r>
                          <w:rPr>
                            <w:rStyle w:val="Strong"/>
                            <w:rFonts w:eastAsia="Times New Roman"/>
                            <w:b/>
                            <w:bCs/>
                            <w:color w:val="000080"/>
                          </w:rPr>
                          <w:t>sedanjega</w:t>
                        </w:r>
                        <w:proofErr w:type="spellEnd"/>
                        <w:r>
                          <w:rPr>
                            <w:rStyle w:val="Strong"/>
                            <w:rFonts w:eastAsia="Times New Roman"/>
                            <w:b/>
                            <w:bCs/>
                            <w:color w:val="000080"/>
                          </w:rPr>
                          <w:t xml:space="preserve"> </w:t>
                        </w:r>
                        <w:proofErr w:type="spellStart"/>
                        <w:r>
                          <w:rPr>
                            <w:rStyle w:val="Strong"/>
                            <w:rFonts w:eastAsia="Times New Roman"/>
                            <w:b/>
                            <w:bCs/>
                            <w:color w:val="000080"/>
                          </w:rPr>
                          <w:t>sistema</w:t>
                        </w:r>
                        <w:proofErr w:type="spellEnd"/>
                        <w:r>
                          <w:rPr>
                            <w:rStyle w:val="Strong"/>
                            <w:rFonts w:eastAsia="Times New Roman"/>
                            <w:b/>
                            <w:bCs/>
                            <w:color w:val="000080"/>
                          </w:rPr>
                          <w:t xml:space="preserve"> </w:t>
                        </w:r>
                        <w:proofErr w:type="spellStart"/>
                        <w:r>
                          <w:rPr>
                            <w:rStyle w:val="Strong"/>
                            <w:rFonts w:eastAsia="Times New Roman"/>
                            <w:b/>
                            <w:bCs/>
                            <w:color w:val="000080"/>
                          </w:rPr>
                          <w:t>gostovanja</w:t>
                        </w:r>
                        <w:proofErr w:type="spellEnd"/>
                        <w:r>
                          <w:rPr>
                            <w:rStyle w:val="Strong"/>
                            <w:rFonts w:eastAsia="Times New Roman"/>
                            <w:b/>
                            <w:bCs/>
                            <w:color w:val="000080"/>
                          </w:rPr>
                          <w:t xml:space="preserve"> do </w:t>
                        </w:r>
                        <w:proofErr w:type="spellStart"/>
                        <w:r>
                          <w:rPr>
                            <w:rStyle w:val="Strong"/>
                            <w:rFonts w:eastAsia="Times New Roman"/>
                            <w:b/>
                            <w:bCs/>
                            <w:color w:val="000080"/>
                          </w:rPr>
                          <w:t>leta</w:t>
                        </w:r>
                        <w:proofErr w:type="spellEnd"/>
                        <w:r>
                          <w:rPr>
                            <w:rStyle w:val="Strong"/>
                            <w:rFonts w:eastAsia="Times New Roman"/>
                            <w:b/>
                            <w:bCs/>
                            <w:color w:val="000080"/>
                          </w:rPr>
                          <w:t xml:space="preserve"> 2032</w:t>
                        </w:r>
                        <w:r>
                          <w:rPr>
                            <w:rFonts w:eastAsia="Times New Roman"/>
                          </w:rPr>
                          <w:br/>
                        </w:r>
                        <w:r>
                          <w:rPr>
                            <w:rFonts w:eastAsia="Times New Roman"/>
                            <w:noProof/>
                          </w:rPr>
                          <w:drawing>
                            <wp:inline distT="0" distB="0" distL="0" distR="0" wp14:anchorId="397FE097" wp14:editId="4B93F952">
                              <wp:extent cx="2540000" cy="1022350"/>
                              <wp:effectExtent l="0" t="0" r="0" b="635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40000" cy="1022350"/>
                                      </a:xfrm>
                                      <a:prstGeom prst="rect">
                                        <a:avLst/>
                                      </a:prstGeom>
                                      <a:noFill/>
                                      <a:ln>
                                        <a:noFill/>
                                      </a:ln>
                                    </pic:spPr>
                                  </pic:pic>
                                </a:graphicData>
                              </a:graphic>
                            </wp:inline>
                          </w:drawing>
                        </w:r>
                      </w:p>
                      <w:p w14:paraId="5280C5E2" w14:textId="77777777" w:rsidR="0055273D" w:rsidRDefault="0055273D">
                        <w:pPr>
                          <w:spacing w:line="360" w:lineRule="auto"/>
                          <w:jc w:val="both"/>
                          <w:rPr>
                            <w:rFonts w:ascii="Helvetica" w:eastAsia="Times New Roman" w:hAnsi="Helvetica"/>
                            <w:color w:val="606060"/>
                            <w:sz w:val="23"/>
                            <w:szCs w:val="23"/>
                          </w:rPr>
                        </w:pPr>
                        <w:r>
                          <w:rPr>
                            <w:rStyle w:val="Strong"/>
                            <w:rFonts w:ascii="Arial" w:eastAsia="Times New Roman" w:hAnsi="Arial"/>
                            <w:color w:val="606060"/>
                            <w:sz w:val="18"/>
                            <w:szCs w:val="18"/>
                          </w:rPr>
                          <w:t>Države članice in Evropski parlament so dosegli politični dogovor o novi uredbi o gostovanju. Uredba bo podaljšala obstoječi sistem gostovanja do leta 2032, kar bo državljanom omogočilo, da bodo med potovanjem po EU še naprej lahko klicali, pošiljali sporočila in uporabljali podatke brez dodatnih stroškov. Uredba bo začela veljati 1. julija prihodnje leto.</w:t>
                        </w:r>
                        <w:r>
                          <w:rPr>
                            <w:rFonts w:ascii="Arial" w:eastAsia="Times New Roman" w:hAnsi="Arial"/>
                            <w:b/>
                            <w:bCs/>
                            <w:color w:val="606060"/>
                            <w:sz w:val="18"/>
                            <w:szCs w:val="18"/>
                          </w:rPr>
                          <w:br/>
                        </w:r>
                        <w:r>
                          <w:rPr>
                            <w:rStyle w:val="Strong"/>
                            <w:rFonts w:ascii="Arial" w:eastAsia="Times New Roman" w:hAnsi="Arial"/>
                            <w:color w:val="606060"/>
                            <w:sz w:val="18"/>
                            <w:szCs w:val="18"/>
                          </w:rPr>
                          <w:t> </w:t>
                        </w:r>
                        <w:r>
                          <w:rPr>
                            <w:rFonts w:ascii="Arial" w:eastAsia="Times New Roman" w:hAnsi="Arial"/>
                            <w:b/>
                            <w:bCs/>
                            <w:color w:val="606060"/>
                            <w:sz w:val="18"/>
                            <w:szCs w:val="18"/>
                          </w:rPr>
                          <w:br/>
                        </w:r>
                        <w:r>
                          <w:rPr>
                            <w:rStyle w:val="Strong"/>
                            <w:rFonts w:ascii="Arial" w:eastAsia="Times New Roman" w:hAnsi="Arial"/>
                            <w:color w:val="606060"/>
                            <w:sz w:val="18"/>
                            <w:szCs w:val="18"/>
                          </w:rPr>
                          <w:t>Več:</w:t>
                        </w:r>
                        <w:r>
                          <w:rPr>
                            <w:rFonts w:ascii="Arial" w:eastAsia="Times New Roman" w:hAnsi="Arial"/>
                            <w:b/>
                            <w:bCs/>
                            <w:color w:val="606060"/>
                            <w:sz w:val="18"/>
                            <w:szCs w:val="18"/>
                          </w:rPr>
                          <w:br/>
                        </w:r>
                        <w:hyperlink r:id="rId22" w:history="1">
                          <w:r>
                            <w:rPr>
                              <w:rStyle w:val="Hyperlink"/>
                              <w:rFonts w:ascii="Arial" w:eastAsia="Times New Roman" w:hAnsi="Arial"/>
                              <w:color w:val="DAA520"/>
                              <w:sz w:val="18"/>
                              <w:szCs w:val="18"/>
                            </w:rPr>
                            <w:t>Sporočilo Evropske komisije</w:t>
                          </w:r>
                        </w:hyperlink>
                      </w:p>
                    </w:tc>
                  </w:tr>
                </w:tbl>
                <w:p w14:paraId="419F2C07" w14:textId="77777777" w:rsidR="0055273D" w:rsidRDefault="0055273D">
                  <w:pPr>
                    <w:rPr>
                      <w:rFonts w:eastAsia="Times New Roman" w:cs="Times New Roman"/>
                      <w:sz w:val="20"/>
                      <w:szCs w:val="20"/>
                    </w:rPr>
                  </w:pPr>
                </w:p>
              </w:tc>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13"/>
                  </w:tblGrid>
                  <w:tr w:rsidR="0055273D" w14:paraId="29D5CFB3" w14:textId="77777777">
                    <w:tc>
                      <w:tcPr>
                        <w:tcW w:w="0" w:type="auto"/>
                        <w:tcMar>
                          <w:top w:w="0" w:type="dxa"/>
                          <w:left w:w="270" w:type="dxa"/>
                          <w:bottom w:w="135" w:type="dxa"/>
                          <w:right w:w="270" w:type="dxa"/>
                        </w:tcMar>
                        <w:hideMark/>
                      </w:tcPr>
                      <w:p w14:paraId="1268E695" w14:textId="77777777" w:rsidR="0055273D" w:rsidRDefault="0055273D">
                        <w:pPr>
                          <w:pStyle w:val="Heading3"/>
                          <w:rPr>
                            <w:rFonts w:eastAsia="Times New Roman"/>
                          </w:rPr>
                        </w:pPr>
                        <w:proofErr w:type="spellStart"/>
                        <w:r>
                          <w:rPr>
                            <w:rStyle w:val="Strong"/>
                            <w:rFonts w:eastAsia="Times New Roman"/>
                            <w:b/>
                            <w:bCs/>
                            <w:color w:val="000080"/>
                          </w:rPr>
                          <w:t>Predloga</w:t>
                        </w:r>
                        <w:proofErr w:type="spellEnd"/>
                        <w:r>
                          <w:rPr>
                            <w:rStyle w:val="Strong"/>
                            <w:rFonts w:eastAsia="Times New Roman"/>
                            <w:b/>
                            <w:bCs/>
                            <w:color w:val="000080"/>
                          </w:rPr>
                          <w:t xml:space="preserve"> za </w:t>
                        </w:r>
                        <w:proofErr w:type="spellStart"/>
                        <w:r>
                          <w:rPr>
                            <w:rStyle w:val="Strong"/>
                            <w:rFonts w:eastAsia="Times New Roman"/>
                            <w:b/>
                            <w:bCs/>
                            <w:color w:val="000080"/>
                          </w:rPr>
                          <w:t>priporočili</w:t>
                        </w:r>
                        <w:proofErr w:type="spellEnd"/>
                        <w:r>
                          <w:rPr>
                            <w:rStyle w:val="Strong"/>
                            <w:rFonts w:eastAsia="Times New Roman"/>
                            <w:b/>
                            <w:bCs/>
                            <w:color w:val="000080"/>
                          </w:rPr>
                          <w:t xml:space="preserve"> o </w:t>
                        </w:r>
                        <w:proofErr w:type="spellStart"/>
                        <w:r>
                          <w:rPr>
                            <w:rStyle w:val="Strong"/>
                            <w:rFonts w:eastAsia="Times New Roman"/>
                            <w:b/>
                            <w:bCs/>
                            <w:color w:val="000080"/>
                          </w:rPr>
                          <w:t>individualnih</w:t>
                        </w:r>
                        <w:proofErr w:type="spellEnd"/>
                        <w:r>
                          <w:rPr>
                            <w:rStyle w:val="Strong"/>
                            <w:rFonts w:eastAsia="Times New Roman"/>
                            <w:b/>
                            <w:bCs/>
                            <w:color w:val="000080"/>
                          </w:rPr>
                          <w:t xml:space="preserve"> </w:t>
                        </w:r>
                        <w:proofErr w:type="spellStart"/>
                        <w:r>
                          <w:rPr>
                            <w:rStyle w:val="Strong"/>
                            <w:rFonts w:eastAsia="Times New Roman"/>
                            <w:b/>
                            <w:bCs/>
                            <w:color w:val="000080"/>
                          </w:rPr>
                          <w:t>izobraževalnih</w:t>
                        </w:r>
                        <w:proofErr w:type="spellEnd"/>
                        <w:r>
                          <w:rPr>
                            <w:rStyle w:val="Strong"/>
                            <w:rFonts w:eastAsia="Times New Roman"/>
                            <w:b/>
                            <w:bCs/>
                            <w:color w:val="000080"/>
                          </w:rPr>
                          <w:t xml:space="preserve"> </w:t>
                        </w:r>
                        <w:proofErr w:type="spellStart"/>
                        <w:r>
                          <w:rPr>
                            <w:rStyle w:val="Strong"/>
                            <w:rFonts w:eastAsia="Times New Roman"/>
                            <w:b/>
                            <w:bCs/>
                            <w:color w:val="000080"/>
                          </w:rPr>
                          <w:t>računih</w:t>
                        </w:r>
                        <w:proofErr w:type="spellEnd"/>
                        <w:r>
                          <w:rPr>
                            <w:rStyle w:val="Strong"/>
                            <w:rFonts w:eastAsia="Times New Roman"/>
                            <w:b/>
                            <w:bCs/>
                            <w:color w:val="000080"/>
                          </w:rPr>
                          <w:t xml:space="preserve"> in </w:t>
                        </w:r>
                        <w:proofErr w:type="spellStart"/>
                        <w:r>
                          <w:rPr>
                            <w:rStyle w:val="Strong"/>
                            <w:rFonts w:eastAsia="Times New Roman"/>
                            <w:b/>
                            <w:bCs/>
                            <w:color w:val="000080"/>
                          </w:rPr>
                          <w:t>mikrokvalifikacijah</w:t>
                        </w:r>
                        <w:proofErr w:type="spellEnd"/>
                      </w:p>
                      <w:p w14:paraId="5D629408" w14:textId="38B30118" w:rsidR="0055273D" w:rsidRDefault="0055273D">
                        <w:pPr>
                          <w:spacing w:line="360" w:lineRule="auto"/>
                          <w:jc w:val="both"/>
                          <w:rPr>
                            <w:rFonts w:ascii="Helvetica" w:eastAsia="Times New Roman" w:hAnsi="Helvetica"/>
                            <w:color w:val="606060"/>
                            <w:sz w:val="23"/>
                            <w:szCs w:val="23"/>
                          </w:rPr>
                        </w:pPr>
                        <w:r>
                          <w:rPr>
                            <w:rFonts w:ascii="Arial" w:eastAsia="Times New Roman" w:hAnsi="Arial"/>
                            <w:b/>
                            <w:bCs/>
                            <w:noProof/>
                            <w:color w:val="606060"/>
                            <w:sz w:val="18"/>
                            <w:szCs w:val="18"/>
                          </w:rPr>
                          <w:drawing>
                            <wp:inline distT="0" distB="0" distL="0" distR="0" wp14:anchorId="79D7D539" wp14:editId="1138521E">
                              <wp:extent cx="2540000" cy="1022350"/>
                              <wp:effectExtent l="0" t="0" r="0" b="635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40000" cy="1022350"/>
                                      </a:xfrm>
                                      <a:prstGeom prst="rect">
                                        <a:avLst/>
                                      </a:prstGeom>
                                      <a:noFill/>
                                      <a:ln>
                                        <a:noFill/>
                                      </a:ln>
                                    </pic:spPr>
                                  </pic:pic>
                                </a:graphicData>
                              </a:graphic>
                            </wp:inline>
                          </w:drawing>
                        </w:r>
                        <w:r>
                          <w:rPr>
                            <w:rFonts w:ascii="Arial" w:eastAsia="Times New Roman" w:hAnsi="Arial"/>
                            <w:b/>
                            <w:bCs/>
                            <w:color w:val="606060"/>
                            <w:sz w:val="18"/>
                            <w:szCs w:val="18"/>
                          </w:rPr>
                          <w:br/>
                        </w:r>
                        <w:r>
                          <w:rPr>
                            <w:rStyle w:val="Strong"/>
                            <w:rFonts w:ascii="Arial" w:eastAsia="Times New Roman" w:hAnsi="Arial"/>
                            <w:color w:val="606060"/>
                            <w:sz w:val="18"/>
                            <w:szCs w:val="18"/>
                          </w:rPr>
                          <w:t xml:space="preserve">Evropska komisija je predstavila predloga za priporočili Svetu EU, ki med evropskimi institucijami predstavlja države članice, o individualnih izobraževalnih računih in </w:t>
                        </w:r>
                        <w:proofErr w:type="spellStart"/>
                        <w:r>
                          <w:rPr>
                            <w:rStyle w:val="Strong"/>
                            <w:rFonts w:ascii="Arial" w:eastAsia="Times New Roman" w:hAnsi="Arial"/>
                            <w:color w:val="606060"/>
                            <w:sz w:val="18"/>
                            <w:szCs w:val="18"/>
                          </w:rPr>
                          <w:t>mikrokvalifikacijah</w:t>
                        </w:r>
                        <w:proofErr w:type="spellEnd"/>
                        <w:r>
                          <w:rPr>
                            <w:rStyle w:val="Strong"/>
                            <w:rFonts w:ascii="Arial" w:eastAsia="Times New Roman" w:hAnsi="Arial"/>
                            <w:color w:val="606060"/>
                            <w:sz w:val="18"/>
                            <w:szCs w:val="18"/>
                          </w:rPr>
                          <w:t xml:space="preserve">, katerih namen je približati se uresničitvi cilja na ravni EU, da se do leta 2030 usposabljanja vsako leto udeleži 60 odstotkov vseh odraslih. S prvim priporočilom Evropska komisija države članice poziva, da skupaj s socialnimi partnerji vzpostavijo individualne izobraževalne račune, opredelijo seznam preverjeno kakovostnih usposabljanj </w:t>
                        </w:r>
                        <w:r>
                          <w:rPr>
                            <w:rStyle w:val="Strong"/>
                            <w:rFonts w:ascii="Arial" w:eastAsia="Times New Roman" w:hAnsi="Arial"/>
                            <w:color w:val="606060"/>
                            <w:sz w:val="18"/>
                            <w:szCs w:val="18"/>
                          </w:rPr>
                          <w:lastRenderedPageBreak/>
                          <w:t xml:space="preserve">ter objavijo ta seznam prek digitalnega registra. Namen drugega predloga je med drugim omogočiti uporabo </w:t>
                        </w:r>
                        <w:proofErr w:type="spellStart"/>
                        <w:r>
                          <w:rPr>
                            <w:rStyle w:val="Strong"/>
                            <w:rFonts w:ascii="Arial" w:eastAsia="Times New Roman" w:hAnsi="Arial"/>
                            <w:color w:val="606060"/>
                            <w:sz w:val="18"/>
                            <w:szCs w:val="18"/>
                          </w:rPr>
                          <w:t>mikrokvalifikacij</w:t>
                        </w:r>
                        <w:proofErr w:type="spellEnd"/>
                        <w:r>
                          <w:rPr>
                            <w:rStyle w:val="Strong"/>
                            <w:rFonts w:ascii="Arial" w:eastAsia="Times New Roman" w:hAnsi="Arial"/>
                            <w:color w:val="606060"/>
                            <w:sz w:val="18"/>
                            <w:szCs w:val="18"/>
                          </w:rPr>
                          <w:t xml:space="preserve"> med institucijami, podjetji, sektorji in državami.</w:t>
                        </w:r>
                        <w:r>
                          <w:rPr>
                            <w:rFonts w:ascii="Arial" w:eastAsia="Times New Roman" w:hAnsi="Arial"/>
                            <w:b/>
                            <w:bCs/>
                            <w:color w:val="606060"/>
                            <w:sz w:val="18"/>
                            <w:szCs w:val="18"/>
                          </w:rPr>
                          <w:br/>
                        </w:r>
                        <w:r>
                          <w:rPr>
                            <w:rStyle w:val="Strong"/>
                            <w:rFonts w:ascii="Arial" w:eastAsia="Times New Roman" w:hAnsi="Arial"/>
                            <w:color w:val="606060"/>
                            <w:sz w:val="18"/>
                            <w:szCs w:val="18"/>
                          </w:rPr>
                          <w:t> </w:t>
                        </w:r>
                        <w:r>
                          <w:rPr>
                            <w:rFonts w:ascii="Arial" w:eastAsia="Times New Roman" w:hAnsi="Arial"/>
                            <w:b/>
                            <w:bCs/>
                            <w:color w:val="606060"/>
                            <w:sz w:val="18"/>
                            <w:szCs w:val="18"/>
                          </w:rPr>
                          <w:br/>
                        </w:r>
                        <w:r>
                          <w:rPr>
                            <w:rStyle w:val="Strong"/>
                            <w:rFonts w:ascii="Arial" w:eastAsia="Times New Roman" w:hAnsi="Arial"/>
                            <w:color w:val="606060"/>
                            <w:sz w:val="18"/>
                            <w:szCs w:val="18"/>
                          </w:rPr>
                          <w:t>Več:</w:t>
                        </w:r>
                        <w:r>
                          <w:rPr>
                            <w:rFonts w:ascii="Arial" w:eastAsia="Times New Roman" w:hAnsi="Arial"/>
                            <w:b/>
                            <w:bCs/>
                            <w:color w:val="606060"/>
                            <w:sz w:val="18"/>
                            <w:szCs w:val="18"/>
                          </w:rPr>
                          <w:br/>
                        </w:r>
                        <w:hyperlink r:id="rId24" w:history="1">
                          <w:r>
                            <w:rPr>
                              <w:rStyle w:val="Hyperlink"/>
                              <w:rFonts w:ascii="Arial" w:eastAsia="Times New Roman" w:hAnsi="Arial"/>
                              <w:color w:val="DAA520"/>
                              <w:sz w:val="18"/>
                              <w:szCs w:val="18"/>
                            </w:rPr>
                            <w:t>Spletna stran s povezavo na predloga Evropske komisije</w:t>
                          </w:r>
                        </w:hyperlink>
                      </w:p>
                    </w:tc>
                  </w:tr>
                </w:tbl>
                <w:p w14:paraId="0A8DC2DF" w14:textId="77777777" w:rsidR="0055273D" w:rsidRDefault="0055273D">
                  <w:pPr>
                    <w:rPr>
                      <w:rFonts w:eastAsia="Times New Roman" w:cs="Times New Roman"/>
                      <w:sz w:val="20"/>
                      <w:szCs w:val="20"/>
                    </w:rPr>
                  </w:pPr>
                </w:p>
              </w:tc>
            </w:tr>
          </w:tbl>
          <w:p w14:paraId="05B0247F" w14:textId="77777777" w:rsidR="0055273D" w:rsidRDefault="0055273D">
            <w:pPr>
              <w:rPr>
                <w:rFonts w:eastAsia="Times New Roman" w:cs="Times New Roman"/>
                <w:sz w:val="20"/>
                <w:szCs w:val="20"/>
              </w:rPr>
            </w:pPr>
          </w:p>
        </w:tc>
      </w:tr>
    </w:tbl>
    <w:p w14:paraId="01BAB603" w14:textId="77777777" w:rsidR="00B86BB6" w:rsidRDefault="00B86BB6" w:rsidP="00CE605B"/>
    <w:sectPr w:rsidR="00B86B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21"/>
    <w:rsid w:val="000C4E8B"/>
    <w:rsid w:val="0022638B"/>
    <w:rsid w:val="0055273D"/>
    <w:rsid w:val="00581921"/>
    <w:rsid w:val="00775FAB"/>
    <w:rsid w:val="00907A0D"/>
    <w:rsid w:val="00AF2719"/>
    <w:rsid w:val="00B86BB6"/>
    <w:rsid w:val="00CE605B"/>
    <w:rsid w:val="00D347F8"/>
    <w:rsid w:val="00EA17F0"/>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B1E6D"/>
  <w15:chartTrackingRefBased/>
  <w15:docId w15:val="{9C19F7DE-74D3-4559-A139-86E928D4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7F0"/>
    <w:pPr>
      <w:spacing w:after="0" w:line="240" w:lineRule="auto"/>
    </w:pPr>
    <w:rPr>
      <w:rFonts w:ascii="Times New Roman" w:eastAsia="NSimSun" w:hAnsi="Times New Roman" w:cs="Arial"/>
      <w:kern w:val="2"/>
      <w:sz w:val="24"/>
      <w:szCs w:val="24"/>
      <w:lang w:val="sl-SI" w:eastAsia="zh-CN" w:bidi="hi-IN"/>
    </w:rPr>
  </w:style>
  <w:style w:type="paragraph" w:styleId="Heading3">
    <w:name w:val="heading 3"/>
    <w:basedOn w:val="Normal"/>
    <w:link w:val="Heading3Char"/>
    <w:uiPriority w:val="9"/>
    <w:semiHidden/>
    <w:unhideWhenUsed/>
    <w:qFormat/>
    <w:rsid w:val="0055273D"/>
    <w:pPr>
      <w:spacing w:line="300" w:lineRule="auto"/>
      <w:outlineLvl w:val="2"/>
    </w:pPr>
    <w:rPr>
      <w:rFonts w:ascii="Helvetica" w:eastAsiaTheme="minorHAnsi" w:hAnsi="Helvetica" w:cs="Times New Roman"/>
      <w:b/>
      <w:bCs/>
      <w:color w:val="606060"/>
      <w:spacing w:val="-8"/>
      <w:kern w:val="0"/>
      <w:sz w:val="27"/>
      <w:szCs w:val="27"/>
      <w:lang w:val="en-BE" w:eastAsia="en-B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7F0"/>
    <w:rPr>
      <w:color w:val="0563C1" w:themeColor="hyperlink"/>
      <w:u w:val="single"/>
    </w:rPr>
  </w:style>
  <w:style w:type="character" w:customStyle="1" w:styleId="Heading3Char">
    <w:name w:val="Heading 3 Char"/>
    <w:basedOn w:val="DefaultParagraphFont"/>
    <w:link w:val="Heading3"/>
    <w:uiPriority w:val="9"/>
    <w:semiHidden/>
    <w:rsid w:val="0055273D"/>
    <w:rPr>
      <w:rFonts w:ascii="Helvetica" w:hAnsi="Helvetica" w:cs="Times New Roman"/>
      <w:b/>
      <w:bCs/>
      <w:color w:val="606060"/>
      <w:spacing w:val="-8"/>
      <w:sz w:val="27"/>
      <w:szCs w:val="27"/>
      <w:lang w:val="en-BE" w:eastAsia="en-BE"/>
    </w:rPr>
  </w:style>
  <w:style w:type="character" w:styleId="Strong">
    <w:name w:val="Strong"/>
    <w:basedOn w:val="DefaultParagraphFont"/>
    <w:uiPriority w:val="22"/>
    <w:qFormat/>
    <w:rsid w:val="005527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42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bra.us8.list-manage.com/track/click?u=e6e6edab27aee286b10f651f9&amp;id=df3f47c36b&amp;e=b881071455" TargetMode="External"/><Relationship Id="rId13" Type="http://schemas.openxmlformats.org/officeDocument/2006/relationships/image" Target="media/image6.png"/><Relationship Id="rId18" Type="http://schemas.openxmlformats.org/officeDocument/2006/relationships/hyperlink" Target="https://sbra.us8.list-manage.com/track/click?u=e6e6edab27aee286b10f651f9&amp;id=8b2f8c57af&amp;e=b881071455"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0.png"/><Relationship Id="rId7" Type="http://schemas.openxmlformats.org/officeDocument/2006/relationships/image" Target="media/image3.png"/><Relationship Id="rId12" Type="http://schemas.openxmlformats.org/officeDocument/2006/relationships/hyperlink" Target="https://sbra.us8.list-manage.com/track/click?u=e6e6edab27aee286b10f651f9&amp;id=f622d5851e&amp;e=b881071455" TargetMode="External"/><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sbra.us8.list-manage.com/track/click?u=e6e6edab27aee286b10f651f9&amp;id=ac53def457&amp;e=b881071455" TargetMode="External"/><Relationship Id="rId20" Type="http://schemas.openxmlformats.org/officeDocument/2006/relationships/hyperlink" Target="https://sbra.us8.list-manage.com/track/click?u=e6e6edab27aee286b10f651f9&amp;id=0c4591a35d&amp;e=b881071455" TargetMode="External"/><Relationship Id="rId1" Type="http://schemas.openxmlformats.org/officeDocument/2006/relationships/styles" Target="styles.xml"/><Relationship Id="rId6" Type="http://schemas.openxmlformats.org/officeDocument/2006/relationships/hyperlink" Target="https://sbra.us8.list-manage.com/track/click?u=e6e6edab27aee286b10f651f9&amp;id=bbbe61193e&amp;e=b881071455" TargetMode="External"/><Relationship Id="rId11" Type="http://schemas.openxmlformats.org/officeDocument/2006/relationships/image" Target="media/image5.png"/><Relationship Id="rId24" Type="http://schemas.openxmlformats.org/officeDocument/2006/relationships/hyperlink" Target="https://sbra.us8.list-manage.com/track/click?u=e6e6edab27aee286b10f651f9&amp;id=506f5eec41&amp;e=b881071455" TargetMode="External"/><Relationship Id="rId5" Type="http://schemas.openxmlformats.org/officeDocument/2006/relationships/image" Target="media/image2.png"/><Relationship Id="rId15" Type="http://schemas.openxmlformats.org/officeDocument/2006/relationships/image" Target="media/image7.png"/><Relationship Id="rId23" Type="http://schemas.openxmlformats.org/officeDocument/2006/relationships/image" Target="media/image11.png"/><Relationship Id="rId10" Type="http://schemas.openxmlformats.org/officeDocument/2006/relationships/hyperlink" Target="https://sbra.us8.list-manage.com/track/click?u=e6e6edab27aee286b10f651f9&amp;id=074511bbb8&amp;e=b881071455" TargetMode="External"/><Relationship Id="rId19" Type="http://schemas.openxmlformats.org/officeDocument/2006/relationships/image" Target="media/image9.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hyperlink" Target="https://sbra.us8.list-manage.com/track/click?u=e6e6edab27aee286b10f651f9&amp;id=d5573bb95f&amp;e=b881071455" TargetMode="External"/><Relationship Id="rId22" Type="http://schemas.openxmlformats.org/officeDocument/2006/relationships/hyperlink" Target="https://sbra.us8.list-manage.com/track/click?u=e6e6edab27aee286b10f651f9&amp;id=01198ba5c9&amp;e=b8810714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832</Words>
  <Characters>4746</Characters>
  <Application>Microsoft Office Word</Application>
  <DocSecurity>0</DocSecurity>
  <Lines>39</Lines>
  <Paragraphs>11</Paragraphs>
  <ScaleCrop>false</ScaleCrop>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Bostjan Sinkovec</dc:creator>
  <cp:keywords/>
  <dc:description/>
  <cp:lastModifiedBy>Bostjan Sinkovec</cp:lastModifiedBy>
  <cp:revision>2</cp:revision>
  <dcterms:created xsi:type="dcterms:W3CDTF">2021-12-21T12:54:00Z</dcterms:created>
  <dcterms:modified xsi:type="dcterms:W3CDTF">2021-12-21T12:54:00Z</dcterms:modified>
</cp:coreProperties>
</file>