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CCAA" w14:textId="77777777" w:rsidR="00FB3E0C" w:rsidRPr="00E456AF" w:rsidRDefault="00FB3E0C" w:rsidP="00C364EB">
      <w:pPr>
        <w:jc w:val="both"/>
        <w:rPr>
          <w:rFonts w:ascii="Arial" w:hAnsi="Arial"/>
          <w:color w:val="1F3864" w:themeColor="accent1" w:themeShade="80"/>
          <w:sz w:val="20"/>
          <w:szCs w:val="20"/>
        </w:rPr>
      </w:pPr>
    </w:p>
    <w:p w14:paraId="62F29377" w14:textId="77777777" w:rsidR="00065E62" w:rsidRDefault="00065E62" w:rsidP="00C364EB">
      <w:pPr>
        <w:jc w:val="both"/>
        <w:rPr>
          <w:rFonts w:ascii="Arial" w:hAnsi="Arial"/>
          <w:color w:val="1F3864" w:themeColor="accent1" w:themeShade="80"/>
          <w:sz w:val="20"/>
          <w:szCs w:val="20"/>
        </w:rPr>
      </w:pPr>
    </w:p>
    <w:p w14:paraId="1BF49EFF" w14:textId="038D689A" w:rsidR="003B182F" w:rsidRPr="00E456AF" w:rsidRDefault="003B182F" w:rsidP="00C364EB">
      <w:pPr>
        <w:jc w:val="both"/>
        <w:rPr>
          <w:rFonts w:ascii="Arial" w:hAnsi="Arial"/>
          <w:color w:val="1F3864" w:themeColor="accent1" w:themeShade="80"/>
          <w:sz w:val="20"/>
          <w:szCs w:val="20"/>
        </w:rPr>
        <w:sectPr w:rsidR="003B182F" w:rsidRPr="00E456AF" w:rsidSect="00C364EB">
          <w:headerReference w:type="first" r:id="rId6"/>
          <w:pgSz w:w="11906" w:h="16838"/>
          <w:pgMar w:top="1134" w:right="1440" w:bottom="1276" w:left="1440" w:header="708" w:footer="708" w:gutter="0"/>
          <w:cols w:num="2" w:space="708"/>
          <w:titlePg/>
          <w:docGrid w:linePitch="360"/>
        </w:sectPr>
      </w:pPr>
    </w:p>
    <w:p w14:paraId="407C81D4" w14:textId="140F71BF" w:rsidR="003B182F" w:rsidRPr="00B424B5" w:rsidRDefault="00FB3BCA" w:rsidP="00C364EB">
      <w:pPr>
        <w:jc w:val="both"/>
        <w:rPr>
          <w:rFonts w:ascii="Arial" w:hAnsi="Arial"/>
          <w:color w:val="1F3864" w:themeColor="accent1" w:themeShade="80"/>
          <w:sz w:val="20"/>
          <w:szCs w:val="20"/>
        </w:rPr>
      </w:pPr>
      <w:r>
        <w:rPr>
          <w:rFonts w:ascii="Arial" w:hAnsi="Arial"/>
          <w:noProof/>
          <w:color w:val="1F3864" w:themeColor="accent1" w:themeShade="80"/>
          <w:sz w:val="20"/>
          <w:szCs w:val="20"/>
        </w:rPr>
        <w:drawing>
          <wp:inline distT="0" distB="0" distL="0" distR="0" wp14:anchorId="73E73539" wp14:editId="002140D3">
            <wp:extent cx="2668772" cy="1071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285" cy="1073857"/>
                    </a:xfrm>
                    <a:prstGeom prst="rect">
                      <a:avLst/>
                    </a:prstGeom>
                    <a:noFill/>
                    <a:ln>
                      <a:noFill/>
                    </a:ln>
                  </pic:spPr>
                </pic:pic>
              </a:graphicData>
            </a:graphic>
          </wp:inline>
        </w:drawing>
      </w:r>
    </w:p>
    <w:p w14:paraId="45EF7F99" w14:textId="77777777" w:rsidR="00C50664" w:rsidRPr="00C364EB" w:rsidRDefault="00C50664" w:rsidP="00C364EB">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Organ ESMA opozarja podjetja na vpliv inflacije pri investicijskih storitvah za male stranke</w:t>
      </w:r>
    </w:p>
    <w:p w14:paraId="0FFEEFBF" w14:textId="77777777" w:rsidR="00C50664" w:rsidRPr="00B424B5" w:rsidRDefault="00C50664" w:rsidP="00C364EB">
      <w:pPr>
        <w:jc w:val="both"/>
        <w:rPr>
          <w:rFonts w:ascii="Arial" w:hAnsi="Arial"/>
          <w:color w:val="1F3864" w:themeColor="accent1" w:themeShade="80"/>
          <w:sz w:val="20"/>
          <w:szCs w:val="20"/>
        </w:rPr>
      </w:pPr>
    </w:p>
    <w:p w14:paraId="424030BA" w14:textId="77777777" w:rsidR="00C50664" w:rsidRPr="00B424B5" w:rsidRDefault="00C50664"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Evropski organ za vrednostne papirje in trge (ESMA) je objavil izjavo, s katero opozarja podjetja na vpliv inflacije pri investicijskih storitvah za male stranke.</w:t>
      </w:r>
    </w:p>
    <w:p w14:paraId="339A2E35" w14:textId="77777777" w:rsidR="00C50664" w:rsidRPr="00B424B5" w:rsidRDefault="00C50664" w:rsidP="00C364EB">
      <w:pPr>
        <w:jc w:val="both"/>
        <w:rPr>
          <w:rFonts w:ascii="Arial" w:hAnsi="Arial"/>
          <w:color w:val="1F3864" w:themeColor="accent1" w:themeShade="80"/>
          <w:sz w:val="20"/>
          <w:szCs w:val="20"/>
        </w:rPr>
      </w:pPr>
    </w:p>
    <w:p w14:paraId="3CEB6A8A" w14:textId="77777777" w:rsidR="00C50664" w:rsidRPr="00B424B5" w:rsidRDefault="00C50664"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Več:</w:t>
      </w:r>
    </w:p>
    <w:p w14:paraId="2E630E52" w14:textId="77777777" w:rsidR="00C50664" w:rsidRPr="00C364EB" w:rsidRDefault="00000000" w:rsidP="00C364EB">
      <w:pPr>
        <w:jc w:val="both"/>
        <w:rPr>
          <w:rFonts w:ascii="Arial" w:hAnsi="Arial"/>
          <w:color w:val="FFC000"/>
          <w:sz w:val="20"/>
          <w:szCs w:val="20"/>
          <w:u w:val="single"/>
        </w:rPr>
      </w:pPr>
      <w:hyperlink r:id="rId8" w:history="1">
        <w:r w:rsidR="00C50664" w:rsidRPr="00C364EB">
          <w:rPr>
            <w:rFonts w:ascii="Arial" w:hAnsi="Arial"/>
            <w:color w:val="FFC000"/>
            <w:sz w:val="20"/>
            <w:szCs w:val="20"/>
            <w:u w:val="single"/>
          </w:rPr>
          <w:t>Izjava</w:t>
        </w:r>
      </w:hyperlink>
    </w:p>
    <w:p w14:paraId="29291FA1" w14:textId="16C081CC" w:rsidR="00C50664" w:rsidRDefault="00C50664" w:rsidP="00C364EB">
      <w:pPr>
        <w:jc w:val="both"/>
        <w:rPr>
          <w:rFonts w:ascii="Arial" w:hAnsi="Arial"/>
          <w:color w:val="1F3864" w:themeColor="accent1" w:themeShade="80"/>
          <w:sz w:val="20"/>
          <w:szCs w:val="20"/>
        </w:rPr>
      </w:pPr>
    </w:p>
    <w:p w14:paraId="7A983AC3" w14:textId="2DBB56F3" w:rsidR="003B182F" w:rsidRDefault="003B182F" w:rsidP="00C364EB">
      <w:pPr>
        <w:jc w:val="both"/>
        <w:rPr>
          <w:rFonts w:ascii="Arial" w:hAnsi="Arial"/>
          <w:color w:val="1F3864" w:themeColor="accent1" w:themeShade="80"/>
          <w:sz w:val="20"/>
          <w:szCs w:val="20"/>
        </w:rPr>
      </w:pPr>
    </w:p>
    <w:p w14:paraId="07037E86" w14:textId="7096727D" w:rsidR="00AA48C5" w:rsidRPr="00B424B5" w:rsidRDefault="00AA48C5" w:rsidP="00C364EB">
      <w:pPr>
        <w:jc w:val="both"/>
        <w:rPr>
          <w:rFonts w:ascii="Arial" w:hAnsi="Arial"/>
          <w:color w:val="1F3864" w:themeColor="accent1" w:themeShade="80"/>
          <w:sz w:val="20"/>
          <w:szCs w:val="20"/>
        </w:rPr>
      </w:pPr>
      <w:r>
        <w:rPr>
          <w:rFonts w:ascii="Arial" w:hAnsi="Arial"/>
          <w:noProof/>
          <w:color w:val="1F3864" w:themeColor="accent1" w:themeShade="80"/>
          <w:sz w:val="20"/>
          <w:szCs w:val="20"/>
        </w:rPr>
        <w:drawing>
          <wp:inline distT="0" distB="0" distL="0" distR="0" wp14:anchorId="10D3BC76" wp14:editId="419AEBFE">
            <wp:extent cx="2626242" cy="10545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445" cy="1055048"/>
                    </a:xfrm>
                    <a:prstGeom prst="rect">
                      <a:avLst/>
                    </a:prstGeom>
                    <a:noFill/>
                    <a:ln>
                      <a:noFill/>
                    </a:ln>
                  </pic:spPr>
                </pic:pic>
              </a:graphicData>
            </a:graphic>
          </wp:inline>
        </w:drawing>
      </w:r>
    </w:p>
    <w:p w14:paraId="5FA09A9E" w14:textId="77777777" w:rsidR="00046622" w:rsidRPr="00C364EB" w:rsidRDefault="00046622" w:rsidP="00C364EB">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Javno posvetovanje v okviru priprave evropskega akta o kritičnih surovinah</w:t>
      </w:r>
    </w:p>
    <w:p w14:paraId="2F587FD5" w14:textId="77777777" w:rsidR="00046622" w:rsidRPr="00B424B5" w:rsidRDefault="00046622" w:rsidP="00C364EB">
      <w:pPr>
        <w:jc w:val="both"/>
        <w:rPr>
          <w:rFonts w:ascii="Arial" w:hAnsi="Arial"/>
          <w:color w:val="1F3864" w:themeColor="accent1" w:themeShade="80"/>
          <w:sz w:val="20"/>
          <w:szCs w:val="20"/>
        </w:rPr>
      </w:pPr>
    </w:p>
    <w:p w14:paraId="712CDF73" w14:textId="77777777" w:rsidR="00046622" w:rsidRPr="00B424B5" w:rsidRDefault="00046622"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 xml:space="preserve">Evropska komisija v okviru priprave evropskega akta o kritičnih surovinah do 25. novembra zbira pripombe in odgovore na vprašanja o trenutnih težavah v dobavni verigi kritičnih surovin v EU in zunaj nje ter o tem, kako jih obravnavati. </w:t>
      </w:r>
    </w:p>
    <w:p w14:paraId="61852D25" w14:textId="77777777" w:rsidR="00046622" w:rsidRPr="00B424B5" w:rsidRDefault="00046622" w:rsidP="00C364EB">
      <w:pPr>
        <w:jc w:val="both"/>
        <w:rPr>
          <w:rFonts w:ascii="Arial" w:hAnsi="Arial"/>
          <w:color w:val="1F3864" w:themeColor="accent1" w:themeShade="80"/>
          <w:sz w:val="20"/>
          <w:szCs w:val="20"/>
        </w:rPr>
      </w:pPr>
    </w:p>
    <w:p w14:paraId="4D21D3B6" w14:textId="77777777" w:rsidR="00046622" w:rsidRPr="00B424B5" w:rsidRDefault="00046622"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Več:</w:t>
      </w:r>
      <w:r w:rsidRPr="00B424B5">
        <w:rPr>
          <w:rFonts w:ascii="Arial" w:hAnsi="Arial"/>
          <w:color w:val="1F3864" w:themeColor="accent1" w:themeShade="80"/>
          <w:sz w:val="20"/>
          <w:szCs w:val="20"/>
        </w:rPr>
        <w:br/>
      </w:r>
      <w:hyperlink r:id="rId10" w:history="1">
        <w:r w:rsidRPr="00C364EB">
          <w:rPr>
            <w:rFonts w:ascii="Arial" w:hAnsi="Arial"/>
            <w:color w:val="FFC000"/>
            <w:sz w:val="20"/>
            <w:szCs w:val="20"/>
            <w:u w:val="single"/>
          </w:rPr>
          <w:t>Javno posvetovanje</w:t>
        </w:r>
      </w:hyperlink>
    </w:p>
    <w:p w14:paraId="6BACCF7B" w14:textId="3D1353A9" w:rsidR="00046622" w:rsidRDefault="00046622" w:rsidP="00C364EB">
      <w:pPr>
        <w:jc w:val="both"/>
        <w:rPr>
          <w:rFonts w:ascii="Arial" w:hAnsi="Arial"/>
          <w:color w:val="1F3864" w:themeColor="accent1" w:themeShade="80"/>
          <w:sz w:val="20"/>
          <w:szCs w:val="20"/>
        </w:rPr>
      </w:pPr>
    </w:p>
    <w:p w14:paraId="297D47F2" w14:textId="7405FD68" w:rsidR="003B182F" w:rsidRDefault="003B182F" w:rsidP="00C364EB">
      <w:pPr>
        <w:jc w:val="both"/>
        <w:rPr>
          <w:rFonts w:ascii="Arial" w:hAnsi="Arial"/>
          <w:color w:val="1F3864" w:themeColor="accent1" w:themeShade="80"/>
          <w:sz w:val="20"/>
          <w:szCs w:val="20"/>
        </w:rPr>
      </w:pPr>
    </w:p>
    <w:p w14:paraId="24D781C2" w14:textId="17625234" w:rsidR="00DD16DC" w:rsidRPr="00B424B5" w:rsidRDefault="00DD16DC" w:rsidP="00C364EB">
      <w:pPr>
        <w:jc w:val="both"/>
        <w:rPr>
          <w:rFonts w:ascii="Arial" w:hAnsi="Arial"/>
          <w:color w:val="1F3864" w:themeColor="accent1" w:themeShade="80"/>
          <w:sz w:val="20"/>
          <w:szCs w:val="20"/>
        </w:rPr>
      </w:pPr>
      <w:r>
        <w:rPr>
          <w:rFonts w:ascii="Arial" w:hAnsi="Arial"/>
          <w:noProof/>
          <w:color w:val="1F3864" w:themeColor="accent1" w:themeShade="80"/>
          <w:sz w:val="20"/>
          <w:szCs w:val="20"/>
        </w:rPr>
        <w:drawing>
          <wp:inline distT="0" distB="0" distL="0" distR="0" wp14:anchorId="74249B07" wp14:editId="1786165E">
            <wp:extent cx="2568447" cy="103135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4752" cy="1033890"/>
                    </a:xfrm>
                    <a:prstGeom prst="rect">
                      <a:avLst/>
                    </a:prstGeom>
                    <a:noFill/>
                    <a:ln>
                      <a:noFill/>
                    </a:ln>
                  </pic:spPr>
                </pic:pic>
              </a:graphicData>
            </a:graphic>
          </wp:inline>
        </w:drawing>
      </w:r>
    </w:p>
    <w:p w14:paraId="7FD9C965" w14:textId="77777777" w:rsidR="00046622" w:rsidRPr="00C364EB" w:rsidRDefault="00046622" w:rsidP="00C364EB">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Sprejet je zakonodajni akt EU o ustreznih minimalnih plačah</w:t>
      </w:r>
    </w:p>
    <w:p w14:paraId="6110195B" w14:textId="77777777" w:rsidR="00046622" w:rsidRPr="00B424B5" w:rsidRDefault="00046622" w:rsidP="00C364EB">
      <w:pPr>
        <w:jc w:val="both"/>
        <w:rPr>
          <w:rFonts w:ascii="Arial" w:hAnsi="Arial"/>
          <w:color w:val="1F3864" w:themeColor="accent1" w:themeShade="80"/>
          <w:sz w:val="20"/>
          <w:szCs w:val="20"/>
        </w:rPr>
      </w:pPr>
    </w:p>
    <w:p w14:paraId="41A9A707" w14:textId="77777777" w:rsidR="00046622" w:rsidRPr="00B424B5" w:rsidRDefault="00046622"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Članice EU so v okviru Sveta EU sprejele direktivo, ki naj bi spodbujala ustreznost zakonsko določenih minimalnih plač.</w:t>
      </w:r>
    </w:p>
    <w:p w14:paraId="247991C2" w14:textId="77777777" w:rsidR="00046622" w:rsidRPr="00B424B5" w:rsidRDefault="00046622" w:rsidP="00C364EB">
      <w:pPr>
        <w:jc w:val="both"/>
        <w:rPr>
          <w:rFonts w:ascii="Arial" w:hAnsi="Arial"/>
          <w:color w:val="1F3864" w:themeColor="accent1" w:themeShade="80"/>
          <w:sz w:val="20"/>
          <w:szCs w:val="20"/>
        </w:rPr>
      </w:pPr>
    </w:p>
    <w:p w14:paraId="66D98DA0" w14:textId="77777777" w:rsidR="00046622" w:rsidRPr="00B424B5" w:rsidRDefault="00046622"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Več:</w:t>
      </w:r>
    </w:p>
    <w:p w14:paraId="431B1E46" w14:textId="77777777" w:rsidR="00046622" w:rsidRPr="00C364EB" w:rsidRDefault="00000000" w:rsidP="00C364EB">
      <w:pPr>
        <w:jc w:val="both"/>
        <w:rPr>
          <w:rFonts w:ascii="Arial" w:hAnsi="Arial"/>
          <w:color w:val="FFC000"/>
          <w:sz w:val="20"/>
          <w:szCs w:val="20"/>
          <w:u w:val="single"/>
        </w:rPr>
      </w:pPr>
      <w:hyperlink r:id="rId12" w:history="1">
        <w:r w:rsidR="00046622" w:rsidRPr="00C364EB">
          <w:rPr>
            <w:rFonts w:ascii="Arial" w:hAnsi="Arial"/>
            <w:color w:val="FFC000"/>
            <w:sz w:val="20"/>
            <w:szCs w:val="20"/>
            <w:u w:val="single"/>
          </w:rPr>
          <w:t>Sporočilo Sveta EU</w:t>
        </w:r>
      </w:hyperlink>
    </w:p>
    <w:p w14:paraId="0625A2A8" w14:textId="463DE8AE" w:rsidR="00046622" w:rsidRDefault="00046622" w:rsidP="00C364EB">
      <w:pPr>
        <w:jc w:val="both"/>
        <w:rPr>
          <w:rFonts w:ascii="Arial" w:hAnsi="Arial"/>
          <w:color w:val="1F3864" w:themeColor="accent1" w:themeShade="80"/>
          <w:sz w:val="20"/>
          <w:szCs w:val="20"/>
        </w:rPr>
      </w:pPr>
    </w:p>
    <w:p w14:paraId="501425EA" w14:textId="2DE652A0" w:rsidR="003B182F" w:rsidRPr="00B424B5" w:rsidRDefault="00362C8C" w:rsidP="00C364EB">
      <w:pPr>
        <w:jc w:val="both"/>
        <w:rPr>
          <w:rFonts w:ascii="Arial" w:hAnsi="Arial"/>
          <w:color w:val="1F3864" w:themeColor="accent1" w:themeShade="80"/>
          <w:sz w:val="20"/>
          <w:szCs w:val="20"/>
        </w:rPr>
      </w:pPr>
      <w:r>
        <w:rPr>
          <w:rFonts w:ascii="Arial" w:hAnsi="Arial"/>
          <w:noProof/>
          <w:color w:val="1F3864" w:themeColor="accent1" w:themeShade="80"/>
          <w:sz w:val="20"/>
          <w:szCs w:val="20"/>
        </w:rPr>
        <w:drawing>
          <wp:inline distT="0" distB="0" distL="0" distR="0" wp14:anchorId="3AEF093B" wp14:editId="02670FFC">
            <wp:extent cx="2667779" cy="1071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1369" cy="1072687"/>
                    </a:xfrm>
                    <a:prstGeom prst="rect">
                      <a:avLst/>
                    </a:prstGeom>
                    <a:noFill/>
                    <a:ln>
                      <a:noFill/>
                    </a:ln>
                  </pic:spPr>
                </pic:pic>
              </a:graphicData>
            </a:graphic>
          </wp:inline>
        </w:drawing>
      </w:r>
    </w:p>
    <w:p w14:paraId="00D16838" w14:textId="77777777" w:rsidR="00046622" w:rsidRPr="00C364EB" w:rsidRDefault="00046622" w:rsidP="00C364EB">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Sodba o plačilu DDV za finančne storitve</w:t>
      </w:r>
    </w:p>
    <w:p w14:paraId="7C97D999" w14:textId="77777777" w:rsidR="00046622" w:rsidRPr="00B424B5" w:rsidRDefault="00046622" w:rsidP="00C364EB">
      <w:pPr>
        <w:jc w:val="both"/>
        <w:rPr>
          <w:rFonts w:ascii="Arial" w:hAnsi="Arial"/>
          <w:color w:val="1F3864" w:themeColor="accent1" w:themeShade="80"/>
          <w:sz w:val="20"/>
          <w:szCs w:val="20"/>
        </w:rPr>
      </w:pPr>
    </w:p>
    <w:p w14:paraId="6883B7B2" w14:textId="77777777" w:rsidR="00046622" w:rsidRPr="00B424B5" w:rsidRDefault="00046622"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 xml:space="preserve">Finančne storitve, opravljene na podlagi pogodbe o </w:t>
      </w:r>
      <w:proofErr w:type="spellStart"/>
      <w:r w:rsidRPr="00B424B5">
        <w:rPr>
          <w:rFonts w:ascii="Arial" w:hAnsi="Arial"/>
          <w:color w:val="1F3864" w:themeColor="accent1" w:themeShade="80"/>
          <w:sz w:val="20"/>
          <w:szCs w:val="20"/>
        </w:rPr>
        <w:t>podudeležbi</w:t>
      </w:r>
      <w:proofErr w:type="spellEnd"/>
      <w:r w:rsidRPr="00B424B5">
        <w:rPr>
          <w:rFonts w:ascii="Arial" w:hAnsi="Arial"/>
          <w:color w:val="1F3864" w:themeColor="accent1" w:themeShade="80"/>
          <w:sz w:val="20"/>
          <w:szCs w:val="20"/>
        </w:rPr>
        <w:t>, so oproščene plačila DDV, je odločilo Sodišče EU.</w:t>
      </w:r>
    </w:p>
    <w:p w14:paraId="202B0973" w14:textId="77777777" w:rsidR="00046622" w:rsidRPr="00B424B5" w:rsidRDefault="00046622" w:rsidP="00C364EB">
      <w:pPr>
        <w:jc w:val="both"/>
        <w:rPr>
          <w:rFonts w:ascii="Arial" w:hAnsi="Arial"/>
          <w:color w:val="1F3864" w:themeColor="accent1" w:themeShade="80"/>
          <w:sz w:val="20"/>
          <w:szCs w:val="20"/>
        </w:rPr>
      </w:pPr>
    </w:p>
    <w:p w14:paraId="2E1635D4" w14:textId="77777777" w:rsidR="00046622" w:rsidRPr="00B424B5" w:rsidRDefault="00046622"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Več:</w:t>
      </w:r>
    </w:p>
    <w:p w14:paraId="251BD092" w14:textId="77777777" w:rsidR="00046622" w:rsidRPr="00C364EB" w:rsidRDefault="00000000" w:rsidP="00C364EB">
      <w:pPr>
        <w:jc w:val="both"/>
        <w:rPr>
          <w:rFonts w:ascii="Arial" w:hAnsi="Arial"/>
          <w:color w:val="FFC000"/>
          <w:sz w:val="20"/>
          <w:szCs w:val="20"/>
          <w:u w:val="single"/>
        </w:rPr>
      </w:pPr>
      <w:hyperlink r:id="rId14" w:history="1">
        <w:r w:rsidR="00046622" w:rsidRPr="00C364EB">
          <w:rPr>
            <w:rFonts w:ascii="Arial" w:hAnsi="Arial"/>
            <w:color w:val="FFC000"/>
            <w:sz w:val="20"/>
            <w:szCs w:val="20"/>
            <w:u w:val="single"/>
          </w:rPr>
          <w:t>Sodba</w:t>
        </w:r>
      </w:hyperlink>
    </w:p>
    <w:p w14:paraId="68A79A25" w14:textId="2FFF5F85" w:rsidR="00046622" w:rsidRDefault="00046622" w:rsidP="00C364EB">
      <w:pPr>
        <w:jc w:val="both"/>
        <w:rPr>
          <w:rFonts w:ascii="Arial" w:hAnsi="Arial"/>
          <w:color w:val="1F3864" w:themeColor="accent1" w:themeShade="80"/>
          <w:sz w:val="20"/>
          <w:szCs w:val="20"/>
        </w:rPr>
      </w:pPr>
    </w:p>
    <w:p w14:paraId="73003F2A" w14:textId="439EBA46" w:rsidR="003B182F" w:rsidRDefault="003B182F" w:rsidP="00C364EB">
      <w:pPr>
        <w:jc w:val="both"/>
        <w:rPr>
          <w:rFonts w:ascii="Arial" w:hAnsi="Arial"/>
          <w:color w:val="1F3864" w:themeColor="accent1" w:themeShade="80"/>
          <w:sz w:val="20"/>
          <w:szCs w:val="20"/>
        </w:rPr>
      </w:pPr>
    </w:p>
    <w:p w14:paraId="3B5CD989" w14:textId="7DA5CFCA" w:rsidR="00FD7E33" w:rsidRPr="00B424B5" w:rsidRDefault="00FD7E33" w:rsidP="00C364EB">
      <w:pPr>
        <w:jc w:val="both"/>
        <w:rPr>
          <w:rFonts w:ascii="Arial" w:hAnsi="Arial"/>
          <w:color w:val="1F3864" w:themeColor="accent1" w:themeShade="80"/>
          <w:sz w:val="20"/>
          <w:szCs w:val="20"/>
        </w:rPr>
      </w:pPr>
      <w:r>
        <w:rPr>
          <w:rFonts w:ascii="Arial" w:hAnsi="Arial"/>
          <w:noProof/>
          <w:color w:val="1F3864" w:themeColor="accent1" w:themeShade="80"/>
          <w:sz w:val="20"/>
          <w:szCs w:val="20"/>
        </w:rPr>
        <w:drawing>
          <wp:inline distT="0" distB="0" distL="0" distR="0" wp14:anchorId="104F772A" wp14:editId="129FD79D">
            <wp:extent cx="2626242" cy="105456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3014" cy="1057284"/>
                    </a:xfrm>
                    <a:prstGeom prst="rect">
                      <a:avLst/>
                    </a:prstGeom>
                    <a:noFill/>
                    <a:ln>
                      <a:noFill/>
                    </a:ln>
                  </pic:spPr>
                </pic:pic>
              </a:graphicData>
            </a:graphic>
          </wp:inline>
        </w:drawing>
      </w:r>
    </w:p>
    <w:p w14:paraId="2EDBA2A1" w14:textId="77777777" w:rsidR="003B2AB8" w:rsidRPr="00C364EB" w:rsidRDefault="003B2AB8" w:rsidP="00C364EB">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 xml:space="preserve">Evropska komisija je odobrila slovensko shemo za podporo podjetjem </w:t>
      </w:r>
    </w:p>
    <w:p w14:paraId="3AFAD394" w14:textId="77777777" w:rsidR="003B2AB8" w:rsidRPr="00B424B5" w:rsidRDefault="003B2AB8" w:rsidP="00C364EB">
      <w:pPr>
        <w:jc w:val="both"/>
        <w:rPr>
          <w:rFonts w:ascii="Arial" w:hAnsi="Arial"/>
          <w:color w:val="1F3864" w:themeColor="accent1" w:themeShade="80"/>
          <w:sz w:val="20"/>
          <w:szCs w:val="20"/>
        </w:rPr>
      </w:pPr>
    </w:p>
    <w:p w14:paraId="4393AD7B" w14:textId="77777777" w:rsidR="003B2AB8" w:rsidRPr="00B424B5" w:rsidRDefault="003B2AB8"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lastRenderedPageBreak/>
        <w:t>Evropska komisija je odobrila 80 milijonov evrov vredno slovensko shemo za podporo podjetjem v kontekstu vojne v Ukrajini. Pomoč bo v skladu s shemo razdeljena v obliki neposrednih nepovratnih sredstev. Sestavljena bo iz omejenih zneskov pomoči in pomoči za dodatne stroške, ki so jih imeli upravičenci zaradi izjemno velikih povišanj cen zemeljskega plina in električne energije.</w:t>
      </w:r>
    </w:p>
    <w:p w14:paraId="137323EC" w14:textId="77777777" w:rsidR="003B2AB8" w:rsidRPr="00B424B5" w:rsidRDefault="003B2AB8" w:rsidP="00C364EB">
      <w:pPr>
        <w:jc w:val="both"/>
        <w:rPr>
          <w:rFonts w:ascii="Arial" w:hAnsi="Arial"/>
          <w:color w:val="1F3864" w:themeColor="accent1" w:themeShade="80"/>
          <w:sz w:val="20"/>
          <w:szCs w:val="20"/>
        </w:rPr>
      </w:pPr>
    </w:p>
    <w:p w14:paraId="4335DF37" w14:textId="77777777" w:rsidR="003B2AB8" w:rsidRPr="00B424B5" w:rsidRDefault="003B2AB8"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Več:</w:t>
      </w:r>
    </w:p>
    <w:p w14:paraId="04C10997" w14:textId="77777777" w:rsidR="003B2AB8" w:rsidRPr="00C364EB" w:rsidRDefault="00000000" w:rsidP="00C364EB">
      <w:pPr>
        <w:jc w:val="both"/>
        <w:rPr>
          <w:rFonts w:ascii="Arial" w:hAnsi="Arial"/>
          <w:color w:val="FFC000"/>
          <w:sz w:val="20"/>
          <w:szCs w:val="20"/>
          <w:u w:val="single"/>
        </w:rPr>
      </w:pPr>
      <w:hyperlink r:id="rId16" w:history="1">
        <w:r w:rsidR="003B2AB8" w:rsidRPr="00C364EB">
          <w:rPr>
            <w:rFonts w:ascii="Arial" w:hAnsi="Arial"/>
            <w:color w:val="FFC000"/>
            <w:sz w:val="20"/>
            <w:szCs w:val="20"/>
            <w:u w:val="single"/>
          </w:rPr>
          <w:t>Sklep Evropske komisije</w:t>
        </w:r>
      </w:hyperlink>
    </w:p>
    <w:p w14:paraId="08FEB7BE" w14:textId="6B8423E5" w:rsidR="003B2AB8" w:rsidRDefault="003B2AB8" w:rsidP="00C364EB">
      <w:pPr>
        <w:jc w:val="both"/>
        <w:rPr>
          <w:rFonts w:ascii="Arial" w:hAnsi="Arial"/>
          <w:color w:val="1F3864" w:themeColor="accent1" w:themeShade="80"/>
          <w:sz w:val="20"/>
          <w:szCs w:val="20"/>
        </w:rPr>
      </w:pPr>
    </w:p>
    <w:p w14:paraId="4761E8EC" w14:textId="6D4C4075" w:rsidR="003B182F" w:rsidRDefault="003B182F" w:rsidP="00C364EB">
      <w:pPr>
        <w:jc w:val="both"/>
        <w:rPr>
          <w:rFonts w:ascii="Arial" w:hAnsi="Arial"/>
          <w:color w:val="1F3864" w:themeColor="accent1" w:themeShade="80"/>
          <w:sz w:val="20"/>
          <w:szCs w:val="20"/>
        </w:rPr>
      </w:pPr>
    </w:p>
    <w:p w14:paraId="2151ADBC" w14:textId="17F5767D" w:rsidR="00B04262" w:rsidRPr="00B424B5" w:rsidRDefault="00B04262" w:rsidP="00C364EB">
      <w:pPr>
        <w:jc w:val="both"/>
        <w:rPr>
          <w:rFonts w:ascii="Arial" w:hAnsi="Arial"/>
          <w:color w:val="1F3864" w:themeColor="accent1" w:themeShade="80"/>
          <w:sz w:val="20"/>
          <w:szCs w:val="20"/>
        </w:rPr>
      </w:pPr>
      <w:r>
        <w:rPr>
          <w:rFonts w:ascii="Arial" w:hAnsi="Arial"/>
          <w:noProof/>
          <w:color w:val="1F3864" w:themeColor="accent1" w:themeShade="80"/>
          <w:sz w:val="20"/>
          <w:szCs w:val="20"/>
        </w:rPr>
        <w:drawing>
          <wp:inline distT="0" distB="0" distL="0" distR="0" wp14:anchorId="011FF34E" wp14:editId="65B0A7AB">
            <wp:extent cx="2667635" cy="10711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1766" cy="1072846"/>
                    </a:xfrm>
                    <a:prstGeom prst="rect">
                      <a:avLst/>
                    </a:prstGeom>
                    <a:noFill/>
                    <a:ln>
                      <a:noFill/>
                    </a:ln>
                  </pic:spPr>
                </pic:pic>
              </a:graphicData>
            </a:graphic>
          </wp:inline>
        </w:drawing>
      </w:r>
    </w:p>
    <w:p w14:paraId="2B6351EF" w14:textId="77777777" w:rsidR="00B424B5" w:rsidRPr="00C364EB" w:rsidRDefault="00B424B5" w:rsidP="00C364EB">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Objavljen je prvi razpis programa Kultura premika Evropo</w:t>
      </w:r>
    </w:p>
    <w:p w14:paraId="1C4AFB0B" w14:textId="77777777" w:rsidR="00B424B5" w:rsidRPr="00B424B5" w:rsidRDefault="00B424B5" w:rsidP="00C364EB">
      <w:pPr>
        <w:jc w:val="both"/>
        <w:rPr>
          <w:rFonts w:ascii="Arial" w:hAnsi="Arial"/>
          <w:color w:val="1F3864" w:themeColor="accent1" w:themeShade="80"/>
          <w:sz w:val="20"/>
          <w:szCs w:val="20"/>
        </w:rPr>
      </w:pPr>
    </w:p>
    <w:p w14:paraId="32871325" w14:textId="1EEF1EF8" w:rsidR="003B2AB8" w:rsidRPr="00B424B5" w:rsidRDefault="00B424B5"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Evropska komisija je na podlagi programa mobilnosti za umetnike in kulturne delavce Kultura premika Evropo objavila prvi razpis za individualno mobilnost. Program, ki ga bo v imenu Komisije izvajal Goethe-Institut, vključuje individualno mobilnost in gostovanje umetnikov. Nepovratna sredstva bodo na voljo umetnikom in kulturnim strokovnjakom za bivanje v drugih državah EU in širše za strokovni razvoj, krepitev mednarodnega sodelovanja in umetniško gostovanje. Ukrep gostovanja umetnikov se bo začel izvajati leta 2023. Razpis je odprt do 31. maja 2023.</w:t>
      </w:r>
    </w:p>
    <w:p w14:paraId="0ECCCB25" w14:textId="77777777" w:rsidR="00B424B5" w:rsidRPr="00B424B5" w:rsidRDefault="00B424B5" w:rsidP="00C364EB">
      <w:pPr>
        <w:jc w:val="both"/>
        <w:rPr>
          <w:rFonts w:ascii="Arial" w:hAnsi="Arial"/>
          <w:color w:val="1F3864" w:themeColor="accent1" w:themeShade="80"/>
          <w:sz w:val="20"/>
          <w:szCs w:val="20"/>
        </w:rPr>
      </w:pPr>
    </w:p>
    <w:p w14:paraId="1BD23D19" w14:textId="60CC0AF2" w:rsidR="00B424B5" w:rsidRPr="00B424B5" w:rsidRDefault="00B424B5"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Več:</w:t>
      </w:r>
    </w:p>
    <w:p w14:paraId="6B7E98C8" w14:textId="77777777" w:rsidR="00B424B5" w:rsidRPr="00C364EB" w:rsidRDefault="00000000" w:rsidP="00C364EB">
      <w:pPr>
        <w:jc w:val="both"/>
        <w:rPr>
          <w:rFonts w:ascii="Arial" w:hAnsi="Arial"/>
          <w:color w:val="FFC000"/>
          <w:sz w:val="20"/>
          <w:szCs w:val="20"/>
          <w:u w:val="single"/>
        </w:rPr>
      </w:pPr>
      <w:hyperlink r:id="rId18" w:history="1">
        <w:r w:rsidR="00B424B5" w:rsidRPr="00C364EB">
          <w:rPr>
            <w:rFonts w:ascii="Arial" w:hAnsi="Arial"/>
            <w:color w:val="FFC000"/>
            <w:sz w:val="20"/>
            <w:szCs w:val="20"/>
            <w:u w:val="single"/>
          </w:rPr>
          <w:t>Razpis</w:t>
        </w:r>
      </w:hyperlink>
    </w:p>
    <w:p w14:paraId="72B83367" w14:textId="77777777" w:rsidR="00B424B5" w:rsidRPr="00B424B5" w:rsidRDefault="00B424B5"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in</w:t>
      </w:r>
    </w:p>
    <w:p w14:paraId="1F98F546" w14:textId="77777777" w:rsidR="00B424B5" w:rsidRPr="00C364EB" w:rsidRDefault="00000000" w:rsidP="00C364EB">
      <w:pPr>
        <w:jc w:val="both"/>
        <w:rPr>
          <w:rFonts w:ascii="Arial" w:hAnsi="Arial"/>
          <w:color w:val="FFC000"/>
          <w:sz w:val="20"/>
          <w:szCs w:val="20"/>
          <w:u w:val="single"/>
        </w:rPr>
      </w:pPr>
      <w:hyperlink r:id="rId19" w:history="1">
        <w:r w:rsidR="00B424B5" w:rsidRPr="00C364EB">
          <w:rPr>
            <w:rFonts w:ascii="Arial" w:hAnsi="Arial"/>
            <w:color w:val="FFC000"/>
            <w:sz w:val="20"/>
            <w:szCs w:val="20"/>
            <w:u w:val="single"/>
          </w:rPr>
          <w:t>Spletna stran programa</w:t>
        </w:r>
      </w:hyperlink>
    </w:p>
    <w:p w14:paraId="5683DD6B" w14:textId="38DB8D68" w:rsidR="00B424B5" w:rsidRDefault="00B424B5" w:rsidP="00C364EB">
      <w:pPr>
        <w:jc w:val="both"/>
        <w:rPr>
          <w:rFonts w:ascii="Arial" w:hAnsi="Arial"/>
          <w:color w:val="1F3864" w:themeColor="accent1" w:themeShade="80"/>
          <w:sz w:val="20"/>
          <w:szCs w:val="20"/>
        </w:rPr>
      </w:pPr>
    </w:p>
    <w:p w14:paraId="59CCAC84" w14:textId="77777777" w:rsidR="00B6597A" w:rsidRDefault="00B6597A" w:rsidP="00C364EB">
      <w:pPr>
        <w:jc w:val="both"/>
        <w:rPr>
          <w:rFonts w:ascii="Arial" w:hAnsi="Arial"/>
          <w:color w:val="1F3864" w:themeColor="accent1" w:themeShade="80"/>
          <w:sz w:val="20"/>
          <w:szCs w:val="20"/>
        </w:rPr>
      </w:pPr>
    </w:p>
    <w:p w14:paraId="2A6F1525" w14:textId="6AA78D10" w:rsidR="003B182F" w:rsidRPr="00B424B5" w:rsidRDefault="00B6597A" w:rsidP="00C364EB">
      <w:pPr>
        <w:jc w:val="both"/>
        <w:rPr>
          <w:rFonts w:ascii="Arial" w:hAnsi="Arial"/>
          <w:color w:val="1F3864" w:themeColor="accent1" w:themeShade="80"/>
          <w:sz w:val="20"/>
          <w:szCs w:val="20"/>
        </w:rPr>
      </w:pPr>
      <w:r>
        <w:rPr>
          <w:rFonts w:ascii="Arial" w:hAnsi="Arial"/>
          <w:noProof/>
          <w:color w:val="1F3864" w:themeColor="accent1" w:themeShade="80"/>
          <w:sz w:val="20"/>
          <w:szCs w:val="20"/>
        </w:rPr>
        <w:drawing>
          <wp:inline distT="0" distB="0" distL="0" distR="0" wp14:anchorId="185E673D" wp14:editId="458F8168">
            <wp:extent cx="2621405" cy="105262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7315" cy="1054996"/>
                    </a:xfrm>
                    <a:prstGeom prst="rect">
                      <a:avLst/>
                    </a:prstGeom>
                    <a:noFill/>
                    <a:ln>
                      <a:noFill/>
                    </a:ln>
                  </pic:spPr>
                </pic:pic>
              </a:graphicData>
            </a:graphic>
          </wp:inline>
        </w:drawing>
      </w:r>
    </w:p>
    <w:p w14:paraId="521D5653" w14:textId="77777777" w:rsidR="00B424B5" w:rsidRPr="00C364EB" w:rsidRDefault="00B424B5" w:rsidP="00C364EB">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Objavljen je razpis za člane novega mandata platforme za trajnostno financiranje</w:t>
      </w:r>
    </w:p>
    <w:p w14:paraId="4A857F73" w14:textId="77777777" w:rsidR="00B424B5" w:rsidRPr="00B424B5" w:rsidRDefault="00B424B5" w:rsidP="00C364EB">
      <w:pPr>
        <w:jc w:val="both"/>
        <w:rPr>
          <w:rFonts w:ascii="Arial" w:hAnsi="Arial"/>
          <w:color w:val="1F3864" w:themeColor="accent1" w:themeShade="80"/>
          <w:sz w:val="20"/>
          <w:szCs w:val="20"/>
        </w:rPr>
      </w:pPr>
    </w:p>
    <w:p w14:paraId="7E773BAF" w14:textId="77777777" w:rsidR="00B424B5" w:rsidRPr="00B424B5" w:rsidRDefault="00B424B5"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 xml:space="preserve">Evropska komisija je objavila razpis za člane novega mandata platforme za trajnostno financiranje. Platforma je svetovalno telo, ki ga sestavljajo strokovnjaki iz zasebnega in javnega sektorja. Njegova naloga je svetovati Evropski komisiji o temah, povezanih z okvirom </w:t>
      </w:r>
      <w:r w:rsidRPr="00B424B5">
        <w:rPr>
          <w:rFonts w:ascii="Arial" w:hAnsi="Arial"/>
          <w:color w:val="1F3864" w:themeColor="accent1" w:themeShade="80"/>
          <w:sz w:val="20"/>
          <w:szCs w:val="20"/>
        </w:rPr>
        <w:t>EU za trajnostne finance, zlasti s taksonomijo EU. Rok za oddajo prijav se izteče 9. novembra.</w:t>
      </w:r>
    </w:p>
    <w:p w14:paraId="3F39B1C5" w14:textId="77777777" w:rsidR="00B424B5" w:rsidRPr="00B424B5" w:rsidRDefault="00B424B5" w:rsidP="00C364EB">
      <w:pPr>
        <w:jc w:val="both"/>
        <w:rPr>
          <w:rFonts w:ascii="Arial" w:hAnsi="Arial"/>
          <w:color w:val="1F3864" w:themeColor="accent1" w:themeShade="80"/>
          <w:sz w:val="20"/>
          <w:szCs w:val="20"/>
        </w:rPr>
      </w:pPr>
    </w:p>
    <w:p w14:paraId="23659C86" w14:textId="77777777" w:rsidR="00B424B5" w:rsidRPr="00B424B5" w:rsidRDefault="00B424B5" w:rsidP="00C364EB">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Več:</w:t>
      </w:r>
    </w:p>
    <w:p w14:paraId="0C327EE0" w14:textId="60B29802" w:rsidR="00B424B5" w:rsidRDefault="00000000" w:rsidP="00C364EB">
      <w:pPr>
        <w:jc w:val="both"/>
        <w:rPr>
          <w:rFonts w:ascii="Arial" w:hAnsi="Arial"/>
          <w:color w:val="FFC000"/>
          <w:sz w:val="20"/>
          <w:szCs w:val="20"/>
          <w:u w:val="single"/>
        </w:rPr>
      </w:pPr>
      <w:hyperlink r:id="rId21" w:history="1">
        <w:r w:rsidR="00B424B5" w:rsidRPr="00C364EB">
          <w:rPr>
            <w:rFonts w:ascii="Arial" w:hAnsi="Arial"/>
            <w:color w:val="FFC000"/>
            <w:sz w:val="20"/>
            <w:szCs w:val="20"/>
            <w:u w:val="single"/>
          </w:rPr>
          <w:t>Razpis</w:t>
        </w:r>
      </w:hyperlink>
    </w:p>
    <w:p w14:paraId="3E7E738C" w14:textId="61A9AC67" w:rsidR="00EA5EAA" w:rsidRDefault="00EA5EAA" w:rsidP="00C364EB">
      <w:pPr>
        <w:jc w:val="both"/>
        <w:rPr>
          <w:rFonts w:ascii="Arial" w:hAnsi="Arial"/>
          <w:color w:val="FFC000"/>
          <w:sz w:val="20"/>
          <w:szCs w:val="20"/>
          <w:u w:val="single"/>
        </w:rPr>
      </w:pPr>
    </w:p>
    <w:p w14:paraId="4547E314" w14:textId="71DF532D" w:rsidR="007469BF" w:rsidRDefault="007469BF" w:rsidP="00C364EB">
      <w:pPr>
        <w:jc w:val="both"/>
        <w:rPr>
          <w:rFonts w:ascii="Arial" w:hAnsi="Arial"/>
          <w:color w:val="FFC000"/>
          <w:sz w:val="20"/>
          <w:szCs w:val="20"/>
          <w:u w:val="single"/>
        </w:rPr>
      </w:pPr>
    </w:p>
    <w:p w14:paraId="1F86C82E" w14:textId="5CFC624D" w:rsidR="007469BF" w:rsidRPr="00C364EB" w:rsidRDefault="007469BF" w:rsidP="00C364EB">
      <w:pPr>
        <w:jc w:val="both"/>
        <w:rPr>
          <w:rFonts w:ascii="Arial" w:hAnsi="Arial"/>
          <w:color w:val="FFC000"/>
          <w:sz w:val="20"/>
          <w:szCs w:val="20"/>
          <w:u w:val="single"/>
        </w:rPr>
      </w:pPr>
      <w:r>
        <w:rPr>
          <w:rFonts w:ascii="Arial" w:hAnsi="Arial"/>
          <w:noProof/>
          <w:color w:val="FFC000"/>
          <w:sz w:val="20"/>
          <w:szCs w:val="20"/>
          <w:u w:val="single"/>
        </w:rPr>
        <w:drawing>
          <wp:inline distT="0" distB="0" distL="0" distR="0" wp14:anchorId="60A45C3C" wp14:editId="18E9D0CF">
            <wp:extent cx="2541270" cy="10204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1270" cy="1020445"/>
                    </a:xfrm>
                    <a:prstGeom prst="rect">
                      <a:avLst/>
                    </a:prstGeom>
                    <a:noFill/>
                    <a:ln>
                      <a:noFill/>
                    </a:ln>
                  </pic:spPr>
                </pic:pic>
              </a:graphicData>
            </a:graphic>
          </wp:inline>
        </w:drawing>
      </w:r>
    </w:p>
    <w:p w14:paraId="06499057" w14:textId="77777777" w:rsidR="00EA5EAA" w:rsidRPr="00C364EB" w:rsidRDefault="00EA5EAA" w:rsidP="00EA5EAA">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Objavljeni so razpisi za naložbe v digitalne tehnologije v višini 200 milijonov evrov</w:t>
      </w:r>
    </w:p>
    <w:p w14:paraId="4F32FCE5" w14:textId="77777777" w:rsidR="00EA5EAA" w:rsidRPr="00B424B5" w:rsidRDefault="00EA5EAA" w:rsidP="00EA5EAA">
      <w:pPr>
        <w:jc w:val="both"/>
        <w:rPr>
          <w:rFonts w:ascii="Arial" w:hAnsi="Arial"/>
          <w:color w:val="1F3864" w:themeColor="accent1" w:themeShade="80"/>
          <w:sz w:val="20"/>
          <w:szCs w:val="20"/>
        </w:rPr>
      </w:pPr>
    </w:p>
    <w:p w14:paraId="721CCC3B" w14:textId="77777777" w:rsidR="00EA5EAA" w:rsidRPr="00B424B5" w:rsidRDefault="00EA5EAA" w:rsidP="00EA5EAA">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Evropska komisija je objavila razpise za naložbe v digitalne tehnologije v višini 200 milijonov evrov, ki so namenjeni podjetjem, javnim upravam in drugim subjektom iz držav članic EU. Od tega je 170 milijonov evrov namenjenih za naložbe v podatkovne prostore, razvoj platforme za umetno inteligenco, infrastrukturo v oblaku in naložbe v specializirane izobraževalne programe na področju naprednih digitalnih tehnologij. Rok za oddajo vlog se izteče 24. januarja 2023. Preostalih 30 milijonov evrov je namenjenih za evropska digitalna inovacijska središča. Ta razpis je odprt do 16. novembra 2022.</w:t>
      </w:r>
    </w:p>
    <w:p w14:paraId="55D3FAFA" w14:textId="77777777" w:rsidR="00EA5EAA" w:rsidRPr="00B424B5" w:rsidRDefault="00EA5EAA" w:rsidP="00EA5EAA">
      <w:pPr>
        <w:jc w:val="both"/>
        <w:rPr>
          <w:rFonts w:ascii="Arial" w:hAnsi="Arial"/>
          <w:color w:val="1F3864" w:themeColor="accent1" w:themeShade="80"/>
          <w:sz w:val="20"/>
          <w:szCs w:val="20"/>
        </w:rPr>
      </w:pPr>
    </w:p>
    <w:p w14:paraId="4050394A" w14:textId="77777777" w:rsidR="00EA5EAA" w:rsidRPr="00B424B5" w:rsidRDefault="00EA5EAA" w:rsidP="00EA5EAA">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Več:</w:t>
      </w:r>
    </w:p>
    <w:p w14:paraId="2CCFA7F5" w14:textId="3E03CE3E" w:rsidR="00EA5EAA" w:rsidRDefault="00000000" w:rsidP="00EA5EAA">
      <w:pPr>
        <w:jc w:val="both"/>
        <w:rPr>
          <w:rFonts w:ascii="Arial" w:hAnsi="Arial"/>
          <w:color w:val="FFC000"/>
          <w:sz w:val="20"/>
          <w:szCs w:val="20"/>
          <w:u w:val="single"/>
        </w:rPr>
      </w:pPr>
      <w:hyperlink r:id="rId23" w:history="1">
        <w:r w:rsidR="00EA5EAA" w:rsidRPr="00C364EB">
          <w:rPr>
            <w:rFonts w:ascii="Arial" w:hAnsi="Arial"/>
            <w:color w:val="FFC000"/>
            <w:sz w:val="20"/>
            <w:szCs w:val="20"/>
            <w:u w:val="single"/>
          </w:rPr>
          <w:t>Razpisi</w:t>
        </w:r>
      </w:hyperlink>
    </w:p>
    <w:p w14:paraId="330BE72F" w14:textId="236FAE93" w:rsidR="00FB3BCA" w:rsidRDefault="00FB3BCA" w:rsidP="00EA5EAA">
      <w:pPr>
        <w:jc w:val="both"/>
        <w:rPr>
          <w:rFonts w:ascii="Arial" w:hAnsi="Arial"/>
          <w:color w:val="FFC000"/>
          <w:sz w:val="20"/>
          <w:szCs w:val="20"/>
          <w:u w:val="single"/>
        </w:rPr>
      </w:pPr>
    </w:p>
    <w:p w14:paraId="0E88F8AD" w14:textId="77777777" w:rsidR="004F736F" w:rsidRDefault="004F736F" w:rsidP="00EA5EAA">
      <w:pPr>
        <w:jc w:val="both"/>
        <w:rPr>
          <w:rFonts w:ascii="Arial" w:hAnsi="Arial"/>
          <w:color w:val="FFC000"/>
          <w:sz w:val="20"/>
          <w:szCs w:val="20"/>
          <w:u w:val="single"/>
        </w:rPr>
      </w:pPr>
    </w:p>
    <w:p w14:paraId="46D6CC31" w14:textId="337B7CCE" w:rsidR="004F736F" w:rsidRPr="00C364EB" w:rsidRDefault="004F736F" w:rsidP="00EA5EAA">
      <w:pPr>
        <w:jc w:val="both"/>
        <w:rPr>
          <w:rFonts w:ascii="Arial" w:hAnsi="Arial"/>
          <w:color w:val="FFC000"/>
          <w:sz w:val="20"/>
          <w:szCs w:val="20"/>
          <w:u w:val="single"/>
        </w:rPr>
      </w:pPr>
      <w:r w:rsidRPr="004F736F">
        <w:rPr>
          <w:rFonts w:ascii="Arial" w:hAnsi="Arial"/>
          <w:noProof/>
          <w:color w:val="FFC000"/>
          <w:sz w:val="20"/>
          <w:szCs w:val="20"/>
        </w:rPr>
        <w:drawing>
          <wp:inline distT="0" distB="0" distL="0" distR="0" wp14:anchorId="5B52E532" wp14:editId="26298180">
            <wp:extent cx="2594927" cy="1041991"/>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96584" cy="1042656"/>
                    </a:xfrm>
                    <a:prstGeom prst="rect">
                      <a:avLst/>
                    </a:prstGeom>
                    <a:noFill/>
                    <a:ln>
                      <a:noFill/>
                    </a:ln>
                  </pic:spPr>
                </pic:pic>
              </a:graphicData>
            </a:graphic>
          </wp:inline>
        </w:drawing>
      </w:r>
    </w:p>
    <w:p w14:paraId="187B5533" w14:textId="77777777" w:rsidR="00FB3BCA" w:rsidRPr="00C364EB" w:rsidRDefault="00FB3BCA" w:rsidP="00FB3BCA">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Sodba glede plačila davka na dodano vrednost</w:t>
      </w:r>
    </w:p>
    <w:p w14:paraId="4E8037F4" w14:textId="77777777" w:rsidR="00FB3BCA" w:rsidRPr="00B424B5" w:rsidRDefault="00FB3BCA" w:rsidP="00FB3BCA">
      <w:pPr>
        <w:jc w:val="both"/>
        <w:rPr>
          <w:rFonts w:ascii="Arial" w:hAnsi="Arial"/>
          <w:color w:val="1F3864" w:themeColor="accent1" w:themeShade="80"/>
          <w:sz w:val="20"/>
          <w:szCs w:val="20"/>
        </w:rPr>
      </w:pPr>
    </w:p>
    <w:p w14:paraId="27EF6ED9" w14:textId="77777777" w:rsidR="00FB3BCA" w:rsidRPr="00B424B5" w:rsidRDefault="00FB3BCA" w:rsidP="00FB3BCA">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Sodišče EU je v primeru, ki je bil vložen na podlagi spora med Raiffeisen Leasing in Republiko Slovenijo glede plačila davka na dodano vrednost, presodilo, da je mogoče pogodbo o prodaji in povratnem najemu, po sklenitvi katere stranki ne izdata računa, šteti za račun v smislu te določbe, če ta pogodba vsebuje vse potrebne informacije, da lahko davčni organ države članice ugotovi, ali so v konkretnem primeru izpolnjeni vsebinski pogoji za pravico do odbitka davka na dodano vrednost, kar mora preveriti predložitveno sodišče.</w:t>
      </w:r>
    </w:p>
    <w:p w14:paraId="277C4131" w14:textId="77777777" w:rsidR="00FB3BCA" w:rsidRPr="00B424B5" w:rsidRDefault="00FB3BCA" w:rsidP="00FB3BCA">
      <w:pPr>
        <w:jc w:val="both"/>
        <w:rPr>
          <w:rFonts w:ascii="Arial" w:hAnsi="Arial"/>
          <w:color w:val="1F3864" w:themeColor="accent1" w:themeShade="80"/>
          <w:sz w:val="20"/>
          <w:szCs w:val="20"/>
        </w:rPr>
      </w:pPr>
    </w:p>
    <w:p w14:paraId="64DDBDC7" w14:textId="77777777" w:rsidR="00FB3BCA" w:rsidRPr="00B424B5" w:rsidRDefault="00FB3BCA" w:rsidP="00FB3BCA">
      <w:pPr>
        <w:jc w:val="both"/>
        <w:rPr>
          <w:rFonts w:ascii="Arial" w:hAnsi="Arial"/>
          <w:color w:val="1F3864" w:themeColor="accent1" w:themeShade="80"/>
          <w:sz w:val="20"/>
          <w:szCs w:val="20"/>
        </w:rPr>
      </w:pPr>
      <w:r w:rsidRPr="00B424B5">
        <w:rPr>
          <w:rFonts w:ascii="Arial" w:hAnsi="Arial"/>
          <w:color w:val="1F3864" w:themeColor="accent1" w:themeShade="80"/>
          <w:sz w:val="20"/>
          <w:szCs w:val="20"/>
        </w:rPr>
        <w:lastRenderedPageBreak/>
        <w:t>Več:</w:t>
      </w:r>
    </w:p>
    <w:p w14:paraId="29C6785A" w14:textId="6FB5285C" w:rsidR="00FB3BCA" w:rsidRDefault="00000000" w:rsidP="00FB3BCA">
      <w:pPr>
        <w:jc w:val="both"/>
        <w:rPr>
          <w:rFonts w:ascii="Arial" w:hAnsi="Arial"/>
          <w:color w:val="FFC000"/>
          <w:sz w:val="20"/>
          <w:szCs w:val="20"/>
          <w:u w:val="single"/>
        </w:rPr>
      </w:pPr>
      <w:hyperlink r:id="rId25" w:history="1">
        <w:r w:rsidR="00FB3BCA" w:rsidRPr="00C364EB">
          <w:rPr>
            <w:rFonts w:ascii="Arial" w:hAnsi="Arial"/>
            <w:color w:val="FFC000"/>
            <w:sz w:val="20"/>
            <w:szCs w:val="20"/>
            <w:u w:val="single"/>
          </w:rPr>
          <w:t>Sodba</w:t>
        </w:r>
      </w:hyperlink>
    </w:p>
    <w:p w14:paraId="13DA377A" w14:textId="0EBF00A6" w:rsidR="00AA48C5" w:rsidRDefault="00AA48C5" w:rsidP="00FB3BCA">
      <w:pPr>
        <w:jc w:val="both"/>
        <w:rPr>
          <w:rFonts w:ascii="Arial" w:hAnsi="Arial"/>
          <w:color w:val="FFC000"/>
          <w:sz w:val="20"/>
          <w:szCs w:val="20"/>
          <w:u w:val="single"/>
        </w:rPr>
      </w:pPr>
    </w:p>
    <w:p w14:paraId="50889B46" w14:textId="13F3B2C9" w:rsidR="00966E49" w:rsidRDefault="00966E49" w:rsidP="00FB3BCA">
      <w:pPr>
        <w:jc w:val="both"/>
        <w:rPr>
          <w:rFonts w:ascii="Arial" w:hAnsi="Arial"/>
          <w:color w:val="FFC000"/>
          <w:sz w:val="20"/>
          <w:szCs w:val="20"/>
          <w:u w:val="single"/>
        </w:rPr>
      </w:pPr>
    </w:p>
    <w:p w14:paraId="071E8DE2" w14:textId="3A35C7CE" w:rsidR="00966E49" w:rsidRPr="00C364EB" w:rsidRDefault="00966E49" w:rsidP="00FB3BCA">
      <w:pPr>
        <w:jc w:val="both"/>
        <w:rPr>
          <w:rFonts w:ascii="Arial" w:hAnsi="Arial"/>
          <w:color w:val="FFC000"/>
          <w:sz w:val="20"/>
          <w:szCs w:val="20"/>
          <w:u w:val="single"/>
        </w:rPr>
      </w:pPr>
      <w:r>
        <w:rPr>
          <w:rFonts w:ascii="Arial" w:hAnsi="Arial"/>
          <w:noProof/>
          <w:color w:val="1F3864" w:themeColor="accent1" w:themeShade="80"/>
          <w:sz w:val="20"/>
          <w:szCs w:val="20"/>
        </w:rPr>
        <w:drawing>
          <wp:inline distT="0" distB="0" distL="0" distR="0" wp14:anchorId="3C3F0639" wp14:editId="476B7577">
            <wp:extent cx="2640965" cy="1060283"/>
            <wp:effectExtent l="0" t="0" r="6985" b="6985"/>
            <wp:docPr id="11" name="Picture 1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0965" cy="1060283"/>
                    </a:xfrm>
                    <a:prstGeom prst="rect">
                      <a:avLst/>
                    </a:prstGeom>
                    <a:noFill/>
                    <a:ln>
                      <a:noFill/>
                    </a:ln>
                  </pic:spPr>
                </pic:pic>
              </a:graphicData>
            </a:graphic>
          </wp:inline>
        </w:drawing>
      </w:r>
    </w:p>
    <w:p w14:paraId="3406FCDE" w14:textId="77777777" w:rsidR="00AA48C5" w:rsidRPr="00C364EB" w:rsidRDefault="00AA48C5" w:rsidP="00AA48C5">
      <w:pPr>
        <w:jc w:val="both"/>
        <w:rPr>
          <w:rFonts w:ascii="Arial" w:hAnsi="Arial"/>
          <w:b/>
          <w:bCs/>
          <w:color w:val="1F3864" w:themeColor="accent1" w:themeShade="80"/>
          <w:sz w:val="20"/>
          <w:szCs w:val="20"/>
        </w:rPr>
      </w:pPr>
      <w:r w:rsidRPr="00C364EB">
        <w:rPr>
          <w:rFonts w:ascii="Arial" w:hAnsi="Arial"/>
          <w:b/>
          <w:bCs/>
          <w:color w:val="1F3864" w:themeColor="accent1" w:themeShade="80"/>
          <w:sz w:val="20"/>
          <w:szCs w:val="20"/>
        </w:rPr>
        <w:t>Posvetovanje o smernicah glede izpadov trga</w:t>
      </w:r>
    </w:p>
    <w:p w14:paraId="0B1F9FB4" w14:textId="77777777" w:rsidR="00AA48C5" w:rsidRPr="00B424B5" w:rsidRDefault="00AA48C5" w:rsidP="00AA48C5">
      <w:pPr>
        <w:jc w:val="both"/>
        <w:rPr>
          <w:rFonts w:ascii="Arial" w:hAnsi="Arial"/>
          <w:color w:val="1F3864" w:themeColor="accent1" w:themeShade="80"/>
          <w:sz w:val="20"/>
          <w:szCs w:val="20"/>
        </w:rPr>
      </w:pPr>
    </w:p>
    <w:p w14:paraId="573E61B4" w14:textId="77777777" w:rsidR="00AA48C5" w:rsidRPr="00B424B5" w:rsidRDefault="00AA48C5" w:rsidP="00AA48C5">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Evropski organ za vrednostne papirje in trge prek posvetovanja do 16. decembra zbira mnenja in predloge o smernicah glede izpadov trga.</w:t>
      </w:r>
    </w:p>
    <w:p w14:paraId="0F3721C4" w14:textId="77777777" w:rsidR="00AA48C5" w:rsidRPr="00B424B5" w:rsidRDefault="00AA48C5" w:rsidP="00AA48C5">
      <w:pPr>
        <w:jc w:val="both"/>
        <w:rPr>
          <w:rFonts w:ascii="Arial" w:hAnsi="Arial"/>
          <w:color w:val="1F3864" w:themeColor="accent1" w:themeShade="80"/>
          <w:sz w:val="20"/>
          <w:szCs w:val="20"/>
        </w:rPr>
      </w:pPr>
    </w:p>
    <w:p w14:paraId="51171AD8" w14:textId="77777777" w:rsidR="00AA48C5" w:rsidRPr="00B424B5" w:rsidRDefault="00AA48C5" w:rsidP="00AA48C5">
      <w:pPr>
        <w:jc w:val="both"/>
        <w:rPr>
          <w:rFonts w:ascii="Arial" w:hAnsi="Arial"/>
          <w:color w:val="1F3864" w:themeColor="accent1" w:themeShade="80"/>
          <w:sz w:val="20"/>
          <w:szCs w:val="20"/>
        </w:rPr>
      </w:pPr>
      <w:r w:rsidRPr="00B424B5">
        <w:rPr>
          <w:rFonts w:ascii="Arial" w:hAnsi="Arial"/>
          <w:color w:val="1F3864" w:themeColor="accent1" w:themeShade="80"/>
          <w:sz w:val="20"/>
          <w:szCs w:val="20"/>
        </w:rPr>
        <w:t>Več:</w:t>
      </w:r>
    </w:p>
    <w:p w14:paraId="7E6DA49C" w14:textId="77777777" w:rsidR="00AA48C5" w:rsidRPr="00C364EB" w:rsidRDefault="00AA48C5" w:rsidP="00AA48C5">
      <w:pPr>
        <w:jc w:val="both"/>
        <w:rPr>
          <w:rFonts w:ascii="Arial" w:hAnsi="Arial"/>
          <w:color w:val="FFC000"/>
          <w:sz w:val="20"/>
          <w:szCs w:val="20"/>
          <w:u w:val="single"/>
        </w:rPr>
      </w:pPr>
      <w:r w:rsidRPr="00C364EB">
        <w:rPr>
          <w:rFonts w:ascii="Arial" w:hAnsi="Arial"/>
          <w:color w:val="1F3864" w:themeColor="accent1" w:themeShade="80"/>
          <w:sz w:val="20"/>
          <w:szCs w:val="20"/>
          <w:u w:val="single"/>
        </w:rPr>
        <w:fldChar w:fldCharType="begin"/>
      </w:r>
      <w:r w:rsidRPr="00C364EB">
        <w:rPr>
          <w:rFonts w:ascii="Arial" w:hAnsi="Arial"/>
          <w:color w:val="1F3864" w:themeColor="accent1" w:themeShade="80"/>
          <w:sz w:val="20"/>
          <w:szCs w:val="20"/>
          <w:u w:val="single"/>
        </w:rPr>
        <w:instrText xml:space="preserve"> HYPERLINK "https://www.esma.europa.eu/press-news/consultations/consultation-paper-market-outages" </w:instrText>
      </w:r>
      <w:r w:rsidRPr="00C364EB">
        <w:rPr>
          <w:rFonts w:ascii="Arial" w:hAnsi="Arial"/>
          <w:color w:val="1F3864" w:themeColor="accent1" w:themeShade="80"/>
          <w:sz w:val="20"/>
          <w:szCs w:val="20"/>
          <w:u w:val="single"/>
        </w:rPr>
        <w:fldChar w:fldCharType="separate"/>
      </w:r>
      <w:r w:rsidRPr="00C364EB">
        <w:rPr>
          <w:rFonts w:ascii="Arial" w:hAnsi="Arial"/>
          <w:color w:val="FFC000"/>
          <w:sz w:val="20"/>
          <w:szCs w:val="20"/>
          <w:u w:val="single"/>
        </w:rPr>
        <w:t>Posvetovanje</w:t>
      </w:r>
    </w:p>
    <w:p w14:paraId="5B687A01" w14:textId="4F50F433" w:rsidR="00B424B5" w:rsidRPr="00B424B5" w:rsidRDefault="00AA48C5" w:rsidP="00AA48C5">
      <w:pPr>
        <w:jc w:val="both"/>
        <w:rPr>
          <w:rFonts w:ascii="Arial" w:hAnsi="Arial"/>
          <w:color w:val="1F3864" w:themeColor="accent1" w:themeShade="80"/>
          <w:sz w:val="20"/>
          <w:szCs w:val="20"/>
        </w:rPr>
      </w:pPr>
      <w:r w:rsidRPr="00C364EB">
        <w:rPr>
          <w:rFonts w:ascii="Arial" w:hAnsi="Arial"/>
          <w:color w:val="1F3864" w:themeColor="accent1" w:themeShade="80"/>
          <w:sz w:val="20"/>
          <w:szCs w:val="20"/>
          <w:u w:val="single"/>
        </w:rPr>
        <w:fldChar w:fldCharType="end"/>
      </w:r>
    </w:p>
    <w:sectPr w:rsidR="00B424B5" w:rsidRPr="00B424B5" w:rsidSect="00C364E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0997" w14:textId="77777777" w:rsidR="00556822" w:rsidRDefault="00556822" w:rsidP="00603E26">
      <w:r>
        <w:separator/>
      </w:r>
    </w:p>
  </w:endnote>
  <w:endnote w:type="continuationSeparator" w:id="0">
    <w:p w14:paraId="2A40EDCF" w14:textId="77777777" w:rsidR="00556822" w:rsidRDefault="00556822" w:rsidP="0060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D528" w14:textId="77777777" w:rsidR="00556822" w:rsidRDefault="00556822" w:rsidP="00603E26">
      <w:r>
        <w:separator/>
      </w:r>
    </w:p>
  </w:footnote>
  <w:footnote w:type="continuationSeparator" w:id="0">
    <w:p w14:paraId="70C3DBF4" w14:textId="77777777" w:rsidR="00556822" w:rsidRDefault="00556822" w:rsidP="0060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99EA" w14:textId="19475820" w:rsidR="00C47B3E" w:rsidRDefault="00C47B3E">
    <w:pPr>
      <w:pStyle w:val="Header"/>
    </w:pPr>
    <w:r w:rsidRPr="00C47B3E">
      <w:rPr>
        <w:noProof/>
      </w:rPr>
      <w:drawing>
        <wp:inline distT="0" distB="0" distL="0" distR="0" wp14:anchorId="6DBC3E27" wp14:editId="5FF1B6A9">
          <wp:extent cx="5731510" cy="260286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6028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35"/>
    <w:rsid w:val="00046622"/>
    <w:rsid w:val="00065E62"/>
    <w:rsid w:val="000D33ED"/>
    <w:rsid w:val="000D588B"/>
    <w:rsid w:val="001C7479"/>
    <w:rsid w:val="002F393B"/>
    <w:rsid w:val="002F4495"/>
    <w:rsid w:val="00362C8C"/>
    <w:rsid w:val="003B182F"/>
    <w:rsid w:val="003B2AB8"/>
    <w:rsid w:val="003E633C"/>
    <w:rsid w:val="004453A9"/>
    <w:rsid w:val="004F736F"/>
    <w:rsid w:val="00514635"/>
    <w:rsid w:val="00544B5F"/>
    <w:rsid w:val="00556822"/>
    <w:rsid w:val="00572478"/>
    <w:rsid w:val="00603E26"/>
    <w:rsid w:val="00607425"/>
    <w:rsid w:val="00625DAD"/>
    <w:rsid w:val="00666CD6"/>
    <w:rsid w:val="00691356"/>
    <w:rsid w:val="007469BF"/>
    <w:rsid w:val="00747FE1"/>
    <w:rsid w:val="00775FAB"/>
    <w:rsid w:val="00794096"/>
    <w:rsid w:val="007A2DC9"/>
    <w:rsid w:val="00865B31"/>
    <w:rsid w:val="00934518"/>
    <w:rsid w:val="00966E49"/>
    <w:rsid w:val="00970D17"/>
    <w:rsid w:val="009B2683"/>
    <w:rsid w:val="00A24230"/>
    <w:rsid w:val="00AA4676"/>
    <w:rsid w:val="00AA48C5"/>
    <w:rsid w:val="00AA7E39"/>
    <w:rsid w:val="00B04262"/>
    <w:rsid w:val="00B424B5"/>
    <w:rsid w:val="00B6597A"/>
    <w:rsid w:val="00C15A4E"/>
    <w:rsid w:val="00C300BB"/>
    <w:rsid w:val="00C364EB"/>
    <w:rsid w:val="00C47B3E"/>
    <w:rsid w:val="00C50664"/>
    <w:rsid w:val="00C83BB1"/>
    <w:rsid w:val="00C915C1"/>
    <w:rsid w:val="00C93177"/>
    <w:rsid w:val="00CC559F"/>
    <w:rsid w:val="00CE7AA7"/>
    <w:rsid w:val="00D347F8"/>
    <w:rsid w:val="00DD16DC"/>
    <w:rsid w:val="00E209EE"/>
    <w:rsid w:val="00E23C38"/>
    <w:rsid w:val="00E456AF"/>
    <w:rsid w:val="00EA5EAA"/>
    <w:rsid w:val="00FA39E5"/>
    <w:rsid w:val="00FB3BCA"/>
    <w:rsid w:val="00FB3E0C"/>
    <w:rsid w:val="00FB52E5"/>
    <w:rsid w:val="00FD7E3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F937"/>
  <w15:chartTrackingRefBased/>
  <w15:docId w15:val="{81A4FCDE-0273-47D6-A6DB-5C09756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C1"/>
    <w:pPr>
      <w:spacing w:after="0" w:line="240" w:lineRule="auto"/>
    </w:pPr>
    <w:rPr>
      <w:rFonts w:ascii="Times New Roman" w:eastAsia="NSimSun" w:hAnsi="Times New Roman" w:cs="Arial"/>
      <w:kern w:val="2"/>
      <w:sz w:val="24"/>
      <w:szCs w:val="24"/>
      <w:lang w:val="sl-SI"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5C1"/>
    <w:rPr>
      <w:color w:val="0563C1" w:themeColor="hyperlink"/>
      <w:u w:val="single"/>
    </w:rPr>
  </w:style>
  <w:style w:type="paragraph" w:styleId="Header">
    <w:name w:val="header"/>
    <w:basedOn w:val="Normal"/>
    <w:link w:val="HeaderChar"/>
    <w:uiPriority w:val="99"/>
    <w:unhideWhenUsed/>
    <w:rsid w:val="00603E2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03E26"/>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603E2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03E26"/>
    <w:rPr>
      <w:rFonts w:ascii="Times New Roman" w:eastAsia="NSimSun" w:hAnsi="Times New Roman" w:cs="Mangal"/>
      <w:kern w:val="2"/>
      <w:sz w:val="24"/>
      <w:szCs w:val="21"/>
      <w:lang w:val="sl-SI" w:eastAsia="zh-CN" w:bidi="hi-IN"/>
    </w:rPr>
  </w:style>
  <w:style w:type="character" w:styleId="UnresolvedMention">
    <w:name w:val="Unresolved Mention"/>
    <w:basedOn w:val="DefaultParagraphFont"/>
    <w:uiPriority w:val="99"/>
    <w:semiHidden/>
    <w:unhideWhenUsed/>
    <w:rsid w:val="00065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a.europa.eu/sites/default/files/library/esma35-43-3328_public_statement_inflation.pdf" TargetMode="External"/><Relationship Id="rId13" Type="http://schemas.openxmlformats.org/officeDocument/2006/relationships/image" Target="media/image5.png"/><Relationship Id="rId18" Type="http://schemas.openxmlformats.org/officeDocument/2006/relationships/hyperlink" Target="https://culture.ec.europa.eu/funding/calls?facets__field_eac_topics=36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finance.ec.europa.eu/sustainable-finance/overview-sustainable-finance/platform-sustainable-finance_en" TargetMode="External"/><Relationship Id="rId7" Type="http://schemas.openxmlformats.org/officeDocument/2006/relationships/image" Target="media/image2.png"/><Relationship Id="rId12" Type="http://schemas.openxmlformats.org/officeDocument/2006/relationships/hyperlink" Target="https://www.consilium.europa.eu/sl/press/press-releases/2022/10/04/council-adopts-eu-law-on-adequate-minimum-wages/" TargetMode="External"/><Relationship Id="rId17" Type="http://schemas.openxmlformats.org/officeDocument/2006/relationships/image" Target="media/image7.png"/><Relationship Id="rId25" Type="http://schemas.openxmlformats.org/officeDocument/2006/relationships/hyperlink" Target="https://curia.europa.eu/juris/fiche.jsf?id=C%3B235%3B21%3BRP%3B1%3BP%3B1%3BC2021%2F0235%2FP&amp;nat=or&amp;mat=or&amp;pcs=Oor&amp;jur=C%2CT%2CF&amp;num=C-235%252F21&amp;for=&amp;jge=&amp;dates=&amp;language=sl&amp;pro=&amp;cit=none%252CC%252CCJ%252CR%252C2008E%252C%252C%252C%252C%252C%252C%252C%252C" TargetMode="External"/><Relationship Id="rId2" Type="http://schemas.openxmlformats.org/officeDocument/2006/relationships/settings" Target="settings.xml"/><Relationship Id="rId16" Type="http://schemas.openxmlformats.org/officeDocument/2006/relationships/hyperlink" Target="https://ec.europa.eu/competition/elojade/isef/index.cfm?fuseaction=dsp_result&amp;policy_area_id=3" TargetMode="External"/><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ec.europa.eu/info/funding-tenders/opportunities/portal/screen/opportunities/topic-search;callCode=null;freeTextSearchKeyword=;matchWholeText=true;typeCodes=1,0;statusCodes=31094501,31094502,31094503;programmePeriod=2021%20-%202027;programCcm2Id=431" TargetMode="External"/><Relationship Id="rId10" Type="http://schemas.openxmlformats.org/officeDocument/2006/relationships/hyperlink" Target="https://ec.europa.eu/info/law/better-regulation/have-your-say/initiatives/13597-European-Critical-Raw-Materials-Act_sl" TargetMode="External"/><Relationship Id="rId19" Type="http://schemas.openxmlformats.org/officeDocument/2006/relationships/hyperlink" Target="https://culture.ec.europa.eu/sl/creative-europe/creative-europe-culture-strand/culture-moves-europe-mobility-for-artists-and-professional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curia.europa.eu/juris/fiche.jsf?id=C%3B250%3B21%3BRP%3B1%3BP%3B1%3BC2021%2F0250%2FP&amp;nat=or&amp;mat=or&amp;pcs=Oor&amp;jur=C%2CT%2CF&amp;num=C-250%252F21&amp;for=&amp;jge=&amp;dates=&amp;language=sl&amp;pro=&amp;cit=none%252CC%252CCJ%252CR%252C2008E%252C%252C%252C%252C%252C%252C%252C%252C" TargetMode="External"/><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35</cp:revision>
  <dcterms:created xsi:type="dcterms:W3CDTF">2022-09-20T12:44:00Z</dcterms:created>
  <dcterms:modified xsi:type="dcterms:W3CDTF">2022-10-21T09:14:00Z</dcterms:modified>
</cp:coreProperties>
</file>