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4A15BD" w14:paraId="6C39A259" w14:textId="77777777" w:rsidTr="004A15BD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A15BD" w14:paraId="47A328E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A15BD" w14:paraId="53CC2419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4A15BD" w14:paraId="285436D9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40BCDC17" w14:textId="1AF2EB5C" w:rsidR="004A15BD" w:rsidRDefault="004A15BD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364066F6" wp14:editId="03C796DA">
                                    <wp:extent cx="5372100" cy="2438400"/>
                                    <wp:effectExtent l="0" t="0" r="0" b="0"/>
                                    <wp:docPr id="11" name="Picture 11" descr="Graphical user interface&#10;&#10;Description automatically generated with low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" name="Picture 11" descr="Graphical user interface&#10;&#10;Description automatically generated with low confiden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2438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1C8EA2A" w14:textId="77777777" w:rsidR="004A15BD" w:rsidRDefault="004A15B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991C0ED" w14:textId="77777777" w:rsidR="004A15BD" w:rsidRDefault="004A15B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963FEFA" w14:textId="77777777" w:rsidR="004A15BD" w:rsidRDefault="004A15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15BD" w14:paraId="0D81FEF7" w14:textId="77777777" w:rsidTr="004A15BD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4A15BD" w14:paraId="4E54DC5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4A15BD" w14:paraId="3EE22625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13"/>
                          <w:gridCol w:w="4513"/>
                        </w:tblGrid>
                        <w:tr w:rsidR="004A15BD" w14:paraId="5F2CA104" w14:textId="77777777"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4A15BD" w14:paraId="0CD2D45A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A160EE3" w14:textId="77777777" w:rsidR="004A15BD" w:rsidRDefault="004A15BD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Delovati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začela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posvetovalna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platforma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svet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trgovino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tehnologijo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med EU in ZDA</w:t>
                                    </w:r>
                                  </w:p>
                                  <w:p w14:paraId="3B4623A9" w14:textId="6CED5A99" w:rsidR="004A15BD" w:rsidRDefault="004A15BD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606060"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 wp14:anchorId="5FBABCD0" wp14:editId="6DF50C7F">
                                          <wp:extent cx="2540000" cy="1022350"/>
                                          <wp:effectExtent l="0" t="0" r="0" b="6350"/>
                                          <wp:docPr id="10" name="Picture 10" descr="Graphical user interface, website&#10;&#10;Description automatically generat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0" name="Picture 10" descr="Graphical user interface, website&#10;&#10;Description automatically generate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0" cy="1022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komisija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zagnala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spletno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posvetovalno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platformo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svet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trgovino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tehnologijo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med EU in ZDA (TTC), ki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deležnikom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omogoča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da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delijo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svoja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mnenja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predložijo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skupne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predloge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prihodnjem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delu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6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Platforma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0F293EE4" w14:textId="77777777" w:rsidR="004A15BD" w:rsidRDefault="004A15B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4A15BD" w14:paraId="3BD8F15C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3C5E5B2A" w14:textId="77777777" w:rsidR="004A15BD" w:rsidRDefault="004A15BD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Javno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posvetovanje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reviziji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zakonodaje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dobrobiti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živali</w:t>
                                    </w:r>
                                    <w:proofErr w:type="spellEnd"/>
                                  </w:p>
                                  <w:p w14:paraId="0ADC25CA" w14:textId="77777777" w:rsidR="004A15BD" w:rsidRDefault="004A15BD">
                                    <w:pPr>
                                      <w:spacing w:line="36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  </w:t>
                                    </w:r>
                                  </w:p>
                                  <w:p w14:paraId="3AA26D75" w14:textId="0DD50C76" w:rsidR="004A15BD" w:rsidRDefault="004A15BD">
                                    <w:pPr>
                                      <w:pStyle w:val="Heading3"/>
                                      <w:jc w:val="both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19EA626A" wp14:editId="1937D437">
                                          <wp:extent cx="2540000" cy="1022350"/>
                                          <wp:effectExtent l="0" t="0" r="0" b="6350"/>
                                          <wp:docPr id="9" name="Picture 9" descr="A group of bunnies eating out of a bowl&#10;&#10;Description automatically generated with low confidenc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9" name="Picture 9" descr="A group of bunnies eating out of a bowl&#10;&#10;Description automatically generated with low confidenc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0" cy="1022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044DE864" w14:textId="77777777" w:rsidR="004A15BD" w:rsidRDefault="004A15BD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komisija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prek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javnega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posvetovanja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do 21.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januarja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2021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zbira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mnenja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predloge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deležnikov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reviziji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zakonodaje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dobrobiti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živali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Namen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revizije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dvigniti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raven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dobrobiti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živali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uskladiti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zakonodajo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EU z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najnovejšimi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znanstvenimi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dokazi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razširiti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njeno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področje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uporabe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ter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olajšati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njeno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izvajanje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8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Javno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posvetovanje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0CB036A2" w14:textId="77777777" w:rsidR="004A15BD" w:rsidRDefault="004A15B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E2A112F" w14:textId="77777777" w:rsidR="004A15BD" w:rsidRDefault="004A15B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4DE2CC4" w14:textId="77777777" w:rsidR="004A15BD" w:rsidRDefault="004A15BD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4A15BD" w14:paraId="0CB4F361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DAA52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86"/>
                        </w:tblGrid>
                        <w:tr w:rsidR="004A15BD" w14:paraId="64F0FBEA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AA520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5A680E14" w14:textId="77777777" w:rsidR="004A15BD" w:rsidRDefault="004A15BD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0BFD3A5F" w14:textId="77777777" w:rsidR="004A15BD" w:rsidRDefault="004A15B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E991CE" w14:textId="77777777" w:rsidR="004A15BD" w:rsidRDefault="004A15BD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4A15BD" w14:paraId="72CDA926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13"/>
                          <w:gridCol w:w="4513"/>
                        </w:tblGrid>
                        <w:tr w:rsidR="004A15BD" w14:paraId="177816E4" w14:textId="77777777"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4A15BD" w14:paraId="3D83AC4B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5F8B3CD6" w14:textId="3B4D3118" w:rsidR="004A15BD" w:rsidRDefault="004A15BD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Javno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posvetovanje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pravilih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glede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odgovornosti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škodo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, ki </w:t>
                                    </w:r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lastRenderedPageBreak/>
                                      <w:t xml:space="preserve">jo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povzročijo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proizvodi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z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napako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FCE30BB" wp14:editId="373D0748">
                                          <wp:extent cx="2540000" cy="1022350"/>
                                          <wp:effectExtent l="0" t="0" r="0" b="6350"/>
                                          <wp:docPr id="8" name="Picture 8" descr="Graphical user interface, text, application&#10;&#10;Description automatically generat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8" name="Picture 8" descr="Graphical user interface, text, application&#10;&#10;Description automatically generate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0" cy="1022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7BA9D600" w14:textId="77777777" w:rsidR="004A15BD" w:rsidRDefault="004A15BD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komisija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prek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javnega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posvetovanja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do 10.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Januarja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2022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zbira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mnenja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predloge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pravilih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glede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odgovornosti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škodo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ki jo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povzročijo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proizvodi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napako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0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Posvetovanje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7F75A178" w14:textId="77777777" w:rsidR="004A15BD" w:rsidRDefault="004A15B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4A15BD" w14:paraId="6AC631B3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5EC06BD5" w14:textId="77777777" w:rsidR="004A15BD" w:rsidRDefault="004A15BD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lastRenderedPageBreak/>
                                      <w:t>Objavljeno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poročilo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izvajanju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uveljavljanju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trgovinskih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sporazumov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EU</w:t>
                                    </w:r>
                                  </w:p>
                                  <w:p w14:paraId="16F5B24F" w14:textId="0A9D5ACD" w:rsidR="004A15BD" w:rsidRDefault="004A15BD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606060"/>
                                        <w:sz w:val="18"/>
                                        <w:szCs w:val="18"/>
                                      </w:rPr>
                                      <w:lastRenderedPageBreak/>
                                      <w:drawing>
                                        <wp:inline distT="0" distB="0" distL="0" distR="0" wp14:anchorId="343066ED" wp14:editId="30496466">
                                          <wp:extent cx="2540000" cy="1022350"/>
                                          <wp:effectExtent l="0" t="0" r="0" b="6350"/>
                                          <wp:docPr id="7" name="Picture 7" descr="Text&#10;&#10;Description automatically generated with medium confidenc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7" name="Picture 7" descr="Text&#10;&#10;Description automatically generated with medium confidenc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0" cy="1022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komisija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objavila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poročilo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izvajanju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uveljavljanju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trgovinskih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sporazumov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EU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katerem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opisuje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ukrepe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ki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jih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izvaja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tesnem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partnerstvu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s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podjetji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EU,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državami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članicami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deležniki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2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Poročilo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506D9849" w14:textId="77777777" w:rsidR="004A15BD" w:rsidRDefault="004A15B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512F1A8" w14:textId="77777777" w:rsidR="004A15BD" w:rsidRDefault="004A15B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6DEFF07" w14:textId="77777777" w:rsidR="004A15BD" w:rsidRDefault="004A15BD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4A15BD" w14:paraId="1A36FF75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DAA52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86"/>
                        </w:tblGrid>
                        <w:tr w:rsidR="004A15BD" w14:paraId="1B769A4E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AA520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43EAA2DC" w14:textId="77777777" w:rsidR="004A15BD" w:rsidRDefault="004A15BD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300A67A5" w14:textId="77777777" w:rsidR="004A15BD" w:rsidRDefault="004A15B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AF2EF2A" w14:textId="77777777" w:rsidR="004A15BD" w:rsidRDefault="004A15BD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4A15BD" w14:paraId="1B4E5266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13"/>
                          <w:gridCol w:w="4513"/>
                        </w:tblGrid>
                        <w:tr w:rsidR="004A15BD" w14:paraId="5EDE2DD0" w14:textId="77777777"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4A15BD" w14:paraId="60645A4C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64CDF8EB" w14:textId="08916E40" w:rsidR="004A15BD" w:rsidRDefault="004A15BD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Izjava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naložbenih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priporočilih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objavljenih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socialnih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omrežjih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3FE968A4" wp14:editId="2D4D465F">
                                          <wp:extent cx="2540000" cy="1009650"/>
                                          <wp:effectExtent l="0" t="0" r="0" b="0"/>
                                          <wp:docPr id="6" name="Picture 6" descr="Application&#10;&#10;Description automatically generated with medium confidenc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6" name="Picture 6" descr="Application&#10;&#10;Description automatically generated with medium confidenc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0" cy="10096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4CD34755" w14:textId="77777777" w:rsidR="004A15BD" w:rsidRDefault="004A15BD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organ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vrednostne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papirje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trge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(ESMA)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javni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izjavi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naložbenih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priporočilih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objavljenih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socialnih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omrežjih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pojasnjuje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kaj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so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naložbena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priporočila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kako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jih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objavljati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socialnih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omrežjih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pa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tudi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kakšne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so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posledice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kršitev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uredbe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EU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zlorabi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trga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4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Izjava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04E90E53" w14:textId="77777777" w:rsidR="004A15BD" w:rsidRDefault="004A15B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4A15BD" w14:paraId="7865D475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BD72B2A" w14:textId="77777777" w:rsidR="004A15BD" w:rsidRDefault="004A15BD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Odprte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so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prijave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udeležbo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kmetijsko-živilski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misiji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Singapur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in Vietnam</w:t>
                                    </w:r>
                                  </w:p>
                                  <w:p w14:paraId="089FE020" w14:textId="35D11D7B" w:rsidR="004A15BD" w:rsidRDefault="004A15BD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606060"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 wp14:anchorId="78602D8C" wp14:editId="152133E9">
                                          <wp:extent cx="2540000" cy="1022350"/>
                                          <wp:effectExtent l="0" t="0" r="0" b="6350"/>
                                          <wp:docPr id="5" name="Picture 5" descr="A red and blue flag&#10;&#10;Description automatically generated with medium confidenc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" name="Picture 5" descr="A red and blue flag&#10;&#10;Description automatically generated with medium confidenc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0" cy="1022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komisija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zbira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prijave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deležnikov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udeležbo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misiji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EU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Singapur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Vietnam,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ki jo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bo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med 27.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marcem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2.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aprilom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2022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vodil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komisar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kmetijstvo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Janusz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Wojciechowski.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Prijave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zbirajo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do 30.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novembra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6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Sporočilo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o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misiji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s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povezavo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za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prijavo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75948C7A" w14:textId="77777777" w:rsidR="004A15BD" w:rsidRDefault="004A15B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C906A65" w14:textId="77777777" w:rsidR="004A15BD" w:rsidRDefault="004A15B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6BBE541" w14:textId="77777777" w:rsidR="004A15BD" w:rsidRDefault="004A15BD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4A15BD" w14:paraId="3F1B0905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DAA52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86"/>
                        </w:tblGrid>
                        <w:tr w:rsidR="004A15BD" w14:paraId="45136CD4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AA520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1156AC0F" w14:textId="77777777" w:rsidR="004A15BD" w:rsidRDefault="004A15BD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1542CF65" w14:textId="77777777" w:rsidR="004A15BD" w:rsidRDefault="004A15B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B35C88E" w14:textId="77777777" w:rsidR="004A15BD" w:rsidRDefault="004A15BD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4A15BD" w14:paraId="7D5D8509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13"/>
                          <w:gridCol w:w="4513"/>
                        </w:tblGrid>
                        <w:tr w:rsidR="004A15BD" w14:paraId="488F2C76" w14:textId="77777777"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4A15BD" w14:paraId="3BB56911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95BAADB" w14:textId="4206ADCE" w:rsidR="004A15BD" w:rsidRDefault="004A15BD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Objavljeni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sta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poročili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stanju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razvoju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trgu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EU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poštne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lastRenderedPageBreak/>
                                      <w:t>čezmejne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dostave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1CC04920" wp14:editId="085BBA4C">
                                          <wp:extent cx="2540000" cy="1022350"/>
                                          <wp:effectExtent l="0" t="0" r="0" b="6350"/>
                                          <wp:docPr id="4" name="Picture 4" descr="A person writing on a piece of paper&#10;&#10;Description automatically generated with medium confidenc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4" name="Picture 4" descr="A person writing on a piece of paper&#10;&#10;Description automatically generated with medium confidenc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0" cy="1022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3CB66109" w14:textId="77777777" w:rsidR="004A15BD" w:rsidRDefault="004A15BD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Digitalizacija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spremenila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enotni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trg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poštni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sektor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sektor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dostave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paketov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kar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ustvarja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nove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priložnosti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izzive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izvajalce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poštnih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storitev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ter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spreminja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potrebe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pričakovanja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potrošnikov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komisija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ugotavlja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poročilih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stanju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razvoju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trgu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EU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poštne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čezmejne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dostave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8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Spletna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stran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s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poročili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398C8000" w14:textId="77777777" w:rsidR="004A15BD" w:rsidRDefault="004A15B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4A15BD" w14:paraId="220104E0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5E175D22" w14:textId="77777777" w:rsidR="004A15BD" w:rsidRDefault="004A15BD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lastRenderedPageBreak/>
                                      <w:t xml:space="preserve">Novo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evropsko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zavezništvo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pospešitev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rasti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zagonskih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podjetij</w:t>
                                    </w:r>
                                    <w:proofErr w:type="spellEnd"/>
                                  </w:p>
                                  <w:p w14:paraId="415CD916" w14:textId="3BCE2A89" w:rsidR="004A15BD" w:rsidRDefault="004A15BD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606060"/>
                                        <w:sz w:val="18"/>
                                        <w:szCs w:val="18"/>
                                      </w:rPr>
                                      <w:lastRenderedPageBreak/>
                                      <w:drawing>
                                        <wp:inline distT="0" distB="0" distL="0" distR="0" wp14:anchorId="17C20E72" wp14:editId="5B21D3FB">
                                          <wp:extent cx="2540000" cy="1022350"/>
                                          <wp:effectExtent l="0" t="0" r="0" b="6350"/>
                                          <wp:docPr id="3" name="Picture 3" descr="Text&#10;&#10;Description automatically generat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3" name="Picture 3" descr="Text&#10;&#10;Description automatically generate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0" cy="1022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Ustanovljeno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je novo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zavezništvo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pospešitev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rasti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zagonskih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podjetij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(European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Startup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Nations Alliance - ESNA).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20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Sporočilo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o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ustanovitvi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1C24BDB9" w14:textId="77777777" w:rsidR="004A15BD" w:rsidRDefault="004A15B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7A984EF" w14:textId="77777777" w:rsidR="004A15BD" w:rsidRDefault="004A15B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7C59DAA" w14:textId="77777777" w:rsidR="004A15BD" w:rsidRDefault="004A15BD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4A15BD" w14:paraId="767B4E62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DAA52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86"/>
                        </w:tblGrid>
                        <w:tr w:rsidR="004A15BD" w14:paraId="4320FF93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AA520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433E2BBE" w14:textId="77777777" w:rsidR="004A15BD" w:rsidRDefault="004A15BD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63F9854A" w14:textId="77777777" w:rsidR="004A15BD" w:rsidRDefault="004A15B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37AF205" w14:textId="77777777" w:rsidR="004A15BD" w:rsidRDefault="004A15BD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4A15BD" w14:paraId="6C0D3D81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13"/>
                          <w:gridCol w:w="4513"/>
                        </w:tblGrid>
                        <w:tr w:rsidR="004A15BD" w14:paraId="152355B2" w14:textId="77777777"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4A15BD" w14:paraId="2C7DDCDB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EA3A3B9" w14:textId="531E71B7" w:rsidR="004A15BD" w:rsidRDefault="004A15BD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Odprte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so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prijave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udeležbo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dnevu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orodjarstva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0AB0D946" wp14:editId="25E8129A">
                                          <wp:extent cx="2540000" cy="1022350"/>
                                          <wp:effectExtent l="0" t="0" r="0" b="6350"/>
                                          <wp:docPr id="2" name="Picture 2" descr="A picture containing gear&#10;&#10;Description automatically generat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" name="Picture 2" descr="A picture containing gear&#10;&#10;Description automatically generate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0" cy="1022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76CCDE6C" w14:textId="77777777" w:rsidR="004A15BD" w:rsidRDefault="004A15BD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Odprte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so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prijave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udeležbo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Dnevu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orodjarstva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2021, ki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bo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13.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decembra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Letošnja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izvedba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največjega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orodjarskega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dogodka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članom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orodjarskega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združenja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TECOS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ponuja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kar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dve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obliki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sodelovanja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tako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predstavitev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dobrih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praks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kot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rezervacijo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stojnice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razstavišču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Digitalnega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središča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Slovenije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.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22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Vabilo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za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udeležbo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738E8EB4" w14:textId="77777777" w:rsidR="004A15BD" w:rsidRDefault="004A15B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4A15BD" w14:paraId="10C148D1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3F0584BB" w14:textId="77777777" w:rsidR="004A15BD" w:rsidRDefault="004A15BD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Poročilo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izvajanju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direktive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nepoštenih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trgovinskih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praksah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verigi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preskrbe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s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hrano</w:t>
                                    </w:r>
                                    <w:proofErr w:type="spellEnd"/>
                                  </w:p>
                                  <w:p w14:paraId="51C1BECB" w14:textId="760451C5" w:rsidR="004A15BD" w:rsidRDefault="004A15BD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606060"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 wp14:anchorId="3D8C0C33" wp14:editId="4E4CDE98">
                                          <wp:extent cx="2540000" cy="1028700"/>
                                          <wp:effectExtent l="0" t="0" r="0" b="0"/>
                                          <wp:docPr id="1" name="Picture 1" descr="Text&#10;&#10;Description automatically generat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" name="Picture 1" descr="Text&#10;&#10;Description automatically generate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0" cy="1028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Večina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od 16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članic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EU, ki so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svoj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nacionalni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red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prenesle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določbe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direktive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EU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nepoštenih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trgovinskih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praksah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med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podjetji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verigi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preskrbe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s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kmetijskimi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živilskimi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proizvodi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(med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njimi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Slovenije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),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zagotovila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kot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minimalno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raven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zaščite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ki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predpisana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direktivi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poročilu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ugotavlja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komisija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24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Poročilo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62132FF3" w14:textId="77777777" w:rsidR="004A15BD" w:rsidRDefault="004A15B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9B4E08" w14:textId="77777777" w:rsidR="004A15BD" w:rsidRDefault="004A15B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FD6B55" w14:textId="77777777" w:rsidR="004A15BD" w:rsidRDefault="004A15BD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4A15BD" w14:paraId="4BDB0F88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DAA52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86"/>
                        </w:tblGrid>
                        <w:tr w:rsidR="004A15BD" w14:paraId="57DD8C6D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AA520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5F0B8441" w14:textId="77777777" w:rsidR="004A15BD" w:rsidRDefault="004A15BD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69611121" w14:textId="77777777" w:rsidR="004A15BD" w:rsidRDefault="004A15B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DEFA781" w14:textId="77777777" w:rsidR="004A15BD" w:rsidRDefault="004A15BD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4A15BD" w14:paraId="5B3DAE7F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4A15BD" w14:paraId="0AF131ED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6"/>
                              </w:tblGrid>
                              <w:tr w:rsidR="004A15BD" w14:paraId="51E8A52E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5DF9C432" w14:textId="42BBE7C7" w:rsidR="004A15BD" w:rsidRDefault="004A15BD" w:rsidP="004A15BD">
                                    <w:pPr>
                                      <w:spacing w:line="36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15A894" w14:textId="77777777" w:rsidR="004A15BD" w:rsidRDefault="004A15B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21503BF" w14:textId="77777777" w:rsidR="004A15BD" w:rsidRDefault="004A15B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85C1E7E" w14:textId="77777777" w:rsidR="004A15BD" w:rsidRDefault="004A15BD">
                  <w:pPr>
                    <w:rPr>
                      <w:rFonts w:eastAsia="Times New Roman"/>
                      <w:vanish/>
                    </w:rPr>
                  </w:pPr>
                </w:p>
                <w:p w14:paraId="7F50803F" w14:textId="77777777" w:rsidR="004A15BD" w:rsidRDefault="004A15B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8959501" w14:textId="77777777" w:rsidR="004A15BD" w:rsidRDefault="004A15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C735BBA" w14:textId="77777777" w:rsidR="001E0747" w:rsidRDefault="004A15BD" w:rsidP="004A15BD"/>
    <w:sectPr w:rsidR="001E0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1F"/>
    <w:rsid w:val="00364A1F"/>
    <w:rsid w:val="004A15BD"/>
    <w:rsid w:val="00775FAB"/>
    <w:rsid w:val="00D3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3B71FF"/>
  <w15:chartTrackingRefBased/>
  <w15:docId w15:val="{FB0277CD-B291-404B-8FF5-38F1C05C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5BD"/>
    <w:pPr>
      <w:spacing w:after="0" w:line="240" w:lineRule="auto"/>
    </w:pPr>
    <w:rPr>
      <w:rFonts w:ascii="Calibri" w:hAnsi="Calibri" w:cs="Calibri"/>
      <w:lang w:val="en-BE" w:eastAsia="en-BE"/>
    </w:rPr>
  </w:style>
  <w:style w:type="paragraph" w:styleId="Heading3">
    <w:name w:val="heading 3"/>
    <w:basedOn w:val="Normal"/>
    <w:link w:val="Heading3Char"/>
    <w:uiPriority w:val="9"/>
    <w:unhideWhenUsed/>
    <w:qFormat/>
    <w:rsid w:val="004A15BD"/>
    <w:pPr>
      <w:spacing w:line="300" w:lineRule="auto"/>
      <w:outlineLvl w:val="2"/>
    </w:pPr>
    <w:rPr>
      <w:rFonts w:ascii="Helvetica" w:hAnsi="Helvetica"/>
      <w:b/>
      <w:bCs/>
      <w:color w:val="606060"/>
      <w:spacing w:val="-8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A15BD"/>
    <w:rPr>
      <w:rFonts w:ascii="Helvetica" w:hAnsi="Helvetica" w:cs="Calibri"/>
      <w:b/>
      <w:bCs/>
      <w:color w:val="606060"/>
      <w:spacing w:val="-8"/>
      <w:sz w:val="27"/>
      <w:szCs w:val="27"/>
      <w:lang w:val="en-BE" w:eastAsia="en-BE"/>
    </w:rPr>
  </w:style>
  <w:style w:type="character" w:styleId="Strong">
    <w:name w:val="Strong"/>
    <w:basedOn w:val="DefaultParagraphFont"/>
    <w:uiPriority w:val="22"/>
    <w:qFormat/>
    <w:rsid w:val="004A15B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A15B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A15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ra.us8.list-manage.com/track/click?u=e6e6edab27aee286b10f651f9&amp;id=82c6b00b48&amp;e=b881071455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s://sbra.us8.list-manage.com/track/click?u=e6e6edab27aee286b10f651f9&amp;id=92d6c59c22&amp;e=b881071455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3.png"/><Relationship Id="rId12" Type="http://schemas.openxmlformats.org/officeDocument/2006/relationships/hyperlink" Target="https://sbra.us8.list-manage.com/track/click?u=e6e6edab27aee286b10f651f9&amp;id=d19e049f15&amp;e=b881071455" TargetMode="External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bra.us8.list-manage.com/track/click?u=e6e6edab27aee286b10f651f9&amp;id=3876e04aff&amp;e=b881071455" TargetMode="External"/><Relationship Id="rId20" Type="http://schemas.openxmlformats.org/officeDocument/2006/relationships/hyperlink" Target="https://sbra.us8.list-manage.com/track/click?u=e6e6edab27aee286b10f651f9&amp;id=cfc6dae25c&amp;e=b881071455" TargetMode="External"/><Relationship Id="rId1" Type="http://schemas.openxmlformats.org/officeDocument/2006/relationships/styles" Target="styles.xml"/><Relationship Id="rId6" Type="http://schemas.openxmlformats.org/officeDocument/2006/relationships/hyperlink" Target="https://sbra.us8.list-manage.com/track/click?u=e6e6edab27aee286b10f651f9&amp;id=2ddac1a779&amp;e=b881071455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s://sbra.us8.list-manage.com/track/click?u=e6e6edab27aee286b10f651f9&amp;id=9d871bbcbb&amp;e=b881071455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10" Type="http://schemas.openxmlformats.org/officeDocument/2006/relationships/hyperlink" Target="https://sbra.us8.list-manage.com/track/click?u=e6e6edab27aee286b10f651f9&amp;id=1bca9e8ef8&amp;e=b881071455" TargetMode="External"/><Relationship Id="rId19" Type="http://schemas.openxmlformats.org/officeDocument/2006/relationships/image" Target="media/image9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hyperlink" Target="https://sbra.us8.list-manage.com/track/click?u=e6e6edab27aee286b10f651f9&amp;id=18a347c75d&amp;e=b881071455" TargetMode="External"/><Relationship Id="rId22" Type="http://schemas.openxmlformats.org/officeDocument/2006/relationships/hyperlink" Target="https://sbra.us8.list-manage.com/track/click?u=e6e6edab27aee286b10f651f9&amp;id=1c0813041b&amp;e=b8810714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Bostjan Sinkovec</dc:creator>
  <cp:keywords/>
  <dc:description/>
  <cp:lastModifiedBy>Bostjan Sinkovec</cp:lastModifiedBy>
  <cp:revision>2</cp:revision>
  <dcterms:created xsi:type="dcterms:W3CDTF">2021-11-16T09:04:00Z</dcterms:created>
  <dcterms:modified xsi:type="dcterms:W3CDTF">2021-11-16T09:06:00Z</dcterms:modified>
</cp:coreProperties>
</file>