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8B22" w14:textId="46F6C751" w:rsidR="00287579" w:rsidRDefault="00287579" w:rsidP="00065E62">
      <w:pPr>
        <w:jc w:val="both"/>
        <w:rPr>
          <w:rFonts w:ascii="Arial" w:hAnsi="Arial"/>
          <w:b/>
          <w:bCs/>
          <w:color w:val="1F3864" w:themeColor="accent1" w:themeShade="80"/>
          <w:sz w:val="20"/>
          <w:szCs w:val="20"/>
        </w:rPr>
      </w:pPr>
      <w:r>
        <w:rPr>
          <w:rFonts w:ascii="Arial" w:hAnsi="Arial"/>
          <w:b/>
          <w:bCs/>
          <w:noProof/>
          <w:color w:val="1F3864" w:themeColor="accent1" w:themeShade="80"/>
          <w:sz w:val="20"/>
          <w:szCs w:val="20"/>
        </w:rPr>
        <w:drawing>
          <wp:inline distT="0" distB="0" distL="0" distR="0" wp14:anchorId="3817CA68" wp14:editId="78000F72">
            <wp:extent cx="2638247"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890" cy="1057533"/>
                    </a:xfrm>
                    <a:prstGeom prst="rect">
                      <a:avLst/>
                    </a:prstGeom>
                    <a:noFill/>
                    <a:ln>
                      <a:noFill/>
                    </a:ln>
                  </pic:spPr>
                </pic:pic>
              </a:graphicData>
            </a:graphic>
          </wp:inline>
        </w:drawing>
      </w:r>
    </w:p>
    <w:p w14:paraId="70991144" w14:textId="2CF9A2B3" w:rsidR="00065E62" w:rsidRPr="00E456AF" w:rsidRDefault="00065E62" w:rsidP="00065E62">
      <w:pPr>
        <w:jc w:val="both"/>
        <w:rPr>
          <w:rFonts w:ascii="Arial" w:hAnsi="Arial"/>
          <w:b/>
          <w:bCs/>
          <w:color w:val="1F3864" w:themeColor="accent1" w:themeShade="80"/>
          <w:sz w:val="20"/>
          <w:szCs w:val="20"/>
        </w:rPr>
      </w:pPr>
      <w:r w:rsidRPr="00E456AF">
        <w:rPr>
          <w:rFonts w:ascii="Arial" w:hAnsi="Arial"/>
          <w:b/>
          <w:bCs/>
          <w:color w:val="1F3864" w:themeColor="accent1" w:themeShade="80"/>
          <w:sz w:val="20"/>
          <w:szCs w:val="20"/>
        </w:rPr>
        <w:t>Javno posvetovanje o pravilih za ocenjevanje državnih poroštev za posojila</w:t>
      </w:r>
    </w:p>
    <w:p w14:paraId="3B385A29" w14:textId="77777777" w:rsidR="00065E62" w:rsidRPr="00E456AF" w:rsidRDefault="00065E62" w:rsidP="00065E62">
      <w:pPr>
        <w:jc w:val="both"/>
        <w:rPr>
          <w:rFonts w:ascii="Arial" w:hAnsi="Arial"/>
          <w:color w:val="1F3864" w:themeColor="accent1" w:themeShade="80"/>
          <w:sz w:val="20"/>
          <w:szCs w:val="20"/>
        </w:rPr>
      </w:pPr>
    </w:p>
    <w:p w14:paraId="7BE7A57E" w14:textId="77777777" w:rsidR="00065E62" w:rsidRPr="00E456AF" w:rsidRDefault="00065E62" w:rsidP="00065E62">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 xml:space="preserve">Evropska komisija prek javnega posvetovanja do 21. novembra zbira mnenja in predloge o pravilih za ocenjevanje državnih poroštev za posojila. </w:t>
      </w:r>
    </w:p>
    <w:p w14:paraId="00C4C15F" w14:textId="77777777" w:rsidR="00065E62" w:rsidRPr="00E456AF" w:rsidRDefault="00065E62" w:rsidP="00065E62">
      <w:pPr>
        <w:jc w:val="both"/>
        <w:rPr>
          <w:rFonts w:ascii="Arial" w:hAnsi="Arial"/>
          <w:color w:val="1F3864" w:themeColor="accent1" w:themeShade="80"/>
          <w:sz w:val="20"/>
          <w:szCs w:val="20"/>
        </w:rPr>
      </w:pPr>
    </w:p>
    <w:p w14:paraId="173B10E3" w14:textId="77777777" w:rsidR="00065E62" w:rsidRPr="00E456AF" w:rsidRDefault="00065E62" w:rsidP="00065E62">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Več:</w:t>
      </w:r>
    </w:p>
    <w:p w14:paraId="500390DC" w14:textId="30E8945F" w:rsidR="00065E62" w:rsidRDefault="00000000" w:rsidP="00065E62">
      <w:pPr>
        <w:jc w:val="both"/>
        <w:rPr>
          <w:rStyle w:val="Hyperlink"/>
          <w:rFonts w:ascii="Arial" w:hAnsi="Arial"/>
          <w:color w:val="FFC000"/>
          <w:sz w:val="20"/>
          <w:szCs w:val="20"/>
        </w:rPr>
      </w:pPr>
      <w:hyperlink r:id="rId7" w:history="1">
        <w:r w:rsidR="00065E62" w:rsidRPr="002F393B">
          <w:rPr>
            <w:rStyle w:val="Hyperlink"/>
            <w:rFonts w:ascii="Arial" w:hAnsi="Arial"/>
            <w:color w:val="FFC000"/>
            <w:sz w:val="20"/>
            <w:szCs w:val="20"/>
          </w:rPr>
          <w:t>Posvetovanje</w:t>
        </w:r>
      </w:hyperlink>
    </w:p>
    <w:p w14:paraId="6590DBFF" w14:textId="77777777" w:rsidR="00583B58" w:rsidRPr="002F393B" w:rsidRDefault="00583B58" w:rsidP="00065E62">
      <w:pPr>
        <w:jc w:val="both"/>
        <w:rPr>
          <w:rFonts w:ascii="Arial" w:hAnsi="Arial"/>
          <w:color w:val="FFC000"/>
          <w:sz w:val="20"/>
          <w:szCs w:val="20"/>
        </w:rPr>
      </w:pPr>
    </w:p>
    <w:p w14:paraId="73B1AA6E" w14:textId="77777777" w:rsidR="00A24230" w:rsidRPr="00E456AF" w:rsidRDefault="00A24230" w:rsidP="00065E62">
      <w:pPr>
        <w:jc w:val="both"/>
        <w:rPr>
          <w:rFonts w:ascii="Arial" w:hAnsi="Arial"/>
          <w:color w:val="1F3864" w:themeColor="accent1" w:themeShade="80"/>
          <w:sz w:val="20"/>
          <w:szCs w:val="20"/>
        </w:rPr>
      </w:pPr>
    </w:p>
    <w:p w14:paraId="2A1AFB10" w14:textId="3BCDB378" w:rsidR="00065E62" w:rsidRPr="00E456AF" w:rsidRDefault="009B0AF7" w:rsidP="00065E62">
      <w:pPr>
        <w:jc w:val="both"/>
        <w:rPr>
          <w:rFonts w:ascii="Arial" w:hAnsi="Arial"/>
          <w:color w:val="1F3864" w:themeColor="accent1" w:themeShade="80"/>
          <w:sz w:val="20"/>
          <w:szCs w:val="20"/>
        </w:rPr>
      </w:pPr>
      <w:r>
        <w:rPr>
          <w:rFonts w:ascii="Arial" w:hAnsi="Arial"/>
          <w:noProof/>
          <w:color w:val="1F3864" w:themeColor="accent1" w:themeShade="80"/>
          <w:sz w:val="20"/>
          <w:szCs w:val="20"/>
        </w:rPr>
        <w:drawing>
          <wp:inline distT="0" distB="0" distL="0" distR="0" wp14:anchorId="5EE29296" wp14:editId="4212B89C">
            <wp:extent cx="2662015" cy="10668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4130" cy="1067648"/>
                    </a:xfrm>
                    <a:prstGeom prst="rect">
                      <a:avLst/>
                    </a:prstGeom>
                    <a:noFill/>
                    <a:ln>
                      <a:noFill/>
                    </a:ln>
                  </pic:spPr>
                </pic:pic>
              </a:graphicData>
            </a:graphic>
          </wp:inline>
        </w:drawing>
      </w:r>
    </w:p>
    <w:p w14:paraId="26EAA97F" w14:textId="77777777" w:rsidR="00E209EE" w:rsidRPr="00E456AF" w:rsidRDefault="00E209EE" w:rsidP="00E209EE">
      <w:pPr>
        <w:jc w:val="both"/>
        <w:rPr>
          <w:rFonts w:ascii="Arial" w:hAnsi="Arial"/>
          <w:b/>
          <w:bCs/>
          <w:color w:val="1F3864" w:themeColor="accent1" w:themeShade="80"/>
          <w:sz w:val="20"/>
          <w:szCs w:val="20"/>
        </w:rPr>
      </w:pPr>
      <w:r w:rsidRPr="00E456AF">
        <w:rPr>
          <w:rFonts w:ascii="Arial" w:hAnsi="Arial"/>
          <w:b/>
          <w:bCs/>
          <w:color w:val="1F3864" w:themeColor="accent1" w:themeShade="80"/>
          <w:sz w:val="20"/>
          <w:szCs w:val="20"/>
        </w:rPr>
        <w:t>Objavljeni sta poročili o pregledu neposrednih tujih naložb in o uredbi o nadzoru izvoza</w:t>
      </w:r>
    </w:p>
    <w:p w14:paraId="13752782" w14:textId="77777777" w:rsidR="00E209EE" w:rsidRPr="00E456AF" w:rsidRDefault="00E209EE" w:rsidP="00E209EE">
      <w:pPr>
        <w:jc w:val="both"/>
        <w:rPr>
          <w:rFonts w:ascii="Arial" w:hAnsi="Arial"/>
          <w:color w:val="1F3864" w:themeColor="accent1" w:themeShade="80"/>
          <w:sz w:val="20"/>
          <w:szCs w:val="20"/>
        </w:rPr>
      </w:pPr>
    </w:p>
    <w:p w14:paraId="10796CD0" w14:textId="77777777" w:rsidR="00E209EE" w:rsidRPr="00E456AF" w:rsidRDefault="00E209EE" w:rsidP="00E209EE">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Evropska komisija je leta 2021 analizirala več kot 400 neposrednih tujih naložb v EU. Ugotovitve je objavila v poročilih o pregledu neposrednih tujih naložb in o uredbi o nadzoru izvoza.</w:t>
      </w:r>
    </w:p>
    <w:p w14:paraId="1D501F16" w14:textId="77777777" w:rsidR="00E209EE" w:rsidRPr="00E456AF" w:rsidRDefault="00E209EE" w:rsidP="00E209EE">
      <w:pPr>
        <w:jc w:val="both"/>
        <w:rPr>
          <w:rFonts w:ascii="Arial" w:hAnsi="Arial"/>
          <w:color w:val="1F3864" w:themeColor="accent1" w:themeShade="80"/>
          <w:sz w:val="20"/>
          <w:szCs w:val="20"/>
        </w:rPr>
      </w:pPr>
    </w:p>
    <w:p w14:paraId="25C55953" w14:textId="77777777" w:rsidR="00E209EE" w:rsidRPr="00E456AF" w:rsidRDefault="00E209EE" w:rsidP="00E209EE">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Več:</w:t>
      </w:r>
    </w:p>
    <w:p w14:paraId="1F007FD3" w14:textId="77777777" w:rsidR="00E209EE" w:rsidRPr="002F393B" w:rsidRDefault="00000000" w:rsidP="00E209EE">
      <w:pPr>
        <w:jc w:val="both"/>
        <w:rPr>
          <w:rFonts w:ascii="Arial" w:hAnsi="Arial"/>
          <w:color w:val="FFC000"/>
          <w:sz w:val="20"/>
          <w:szCs w:val="20"/>
        </w:rPr>
      </w:pPr>
      <w:hyperlink r:id="rId9" w:history="1">
        <w:r w:rsidR="00E209EE" w:rsidRPr="002F393B">
          <w:rPr>
            <w:rStyle w:val="Hyperlink"/>
            <w:rFonts w:ascii="Arial" w:hAnsi="Arial"/>
            <w:color w:val="FFC000"/>
            <w:sz w:val="20"/>
            <w:szCs w:val="20"/>
          </w:rPr>
          <w:t>Poročilo o pregledu neposrednih tujih naložb</w:t>
        </w:r>
      </w:hyperlink>
    </w:p>
    <w:p w14:paraId="71347DBE" w14:textId="77777777" w:rsidR="00E209EE" w:rsidRPr="00E456AF" w:rsidRDefault="00E209EE" w:rsidP="00E209EE">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in</w:t>
      </w:r>
    </w:p>
    <w:p w14:paraId="05C8D5CB" w14:textId="3066DF5A" w:rsidR="00E209EE" w:rsidRPr="002F393B" w:rsidRDefault="00000000" w:rsidP="00E209EE">
      <w:pPr>
        <w:jc w:val="both"/>
        <w:rPr>
          <w:rStyle w:val="Hyperlink"/>
          <w:rFonts w:ascii="Arial" w:hAnsi="Arial"/>
          <w:color w:val="FFC000"/>
          <w:sz w:val="20"/>
          <w:szCs w:val="20"/>
        </w:rPr>
      </w:pPr>
      <w:hyperlink r:id="rId10" w:history="1">
        <w:r w:rsidR="00E209EE" w:rsidRPr="002F393B">
          <w:rPr>
            <w:rStyle w:val="Hyperlink"/>
            <w:rFonts w:ascii="Arial" w:hAnsi="Arial"/>
            <w:color w:val="FFC000"/>
            <w:sz w:val="20"/>
            <w:szCs w:val="20"/>
          </w:rPr>
          <w:t>Poročilo o nadzoru izvoza</w:t>
        </w:r>
      </w:hyperlink>
    </w:p>
    <w:p w14:paraId="759356E9" w14:textId="5ACA009D" w:rsidR="00E209EE" w:rsidRPr="00E456AF" w:rsidRDefault="00E209EE" w:rsidP="00E209EE">
      <w:pPr>
        <w:jc w:val="both"/>
        <w:rPr>
          <w:rStyle w:val="Hyperlink"/>
          <w:rFonts w:ascii="Arial" w:hAnsi="Arial"/>
          <w:color w:val="1F3864" w:themeColor="accent1" w:themeShade="80"/>
          <w:sz w:val="20"/>
          <w:szCs w:val="20"/>
        </w:rPr>
      </w:pPr>
    </w:p>
    <w:p w14:paraId="1286752F" w14:textId="457703FA" w:rsidR="004453A9" w:rsidRDefault="004453A9" w:rsidP="00E209EE">
      <w:pPr>
        <w:jc w:val="both"/>
        <w:rPr>
          <w:rStyle w:val="Hyperlink"/>
          <w:rFonts w:ascii="Arial" w:hAnsi="Arial"/>
          <w:color w:val="1F3864" w:themeColor="accent1" w:themeShade="80"/>
          <w:sz w:val="20"/>
          <w:szCs w:val="20"/>
        </w:rPr>
      </w:pPr>
    </w:p>
    <w:p w14:paraId="01E066FD" w14:textId="604D09FF" w:rsidR="00E57727" w:rsidRPr="00E456AF" w:rsidRDefault="00E57727" w:rsidP="00E209EE">
      <w:pPr>
        <w:jc w:val="both"/>
        <w:rPr>
          <w:rStyle w:val="Hyperlink"/>
          <w:rFonts w:ascii="Arial" w:hAnsi="Arial"/>
          <w:color w:val="1F3864" w:themeColor="accent1" w:themeShade="80"/>
          <w:sz w:val="20"/>
          <w:szCs w:val="20"/>
        </w:rPr>
      </w:pPr>
      <w:r w:rsidRPr="00E57727">
        <w:rPr>
          <w:rStyle w:val="Hyperlink"/>
          <w:rFonts w:ascii="Arial" w:hAnsi="Arial"/>
          <w:noProof/>
          <w:color w:val="1F3864" w:themeColor="accent1" w:themeShade="80"/>
          <w:sz w:val="20"/>
          <w:szCs w:val="20"/>
          <w:u w:val="none"/>
        </w:rPr>
        <w:drawing>
          <wp:inline distT="0" distB="0" distL="0" distR="0" wp14:anchorId="3E57E1E1" wp14:editId="7451D2BF">
            <wp:extent cx="2638247" cy="1057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0276" cy="1058088"/>
                    </a:xfrm>
                    <a:prstGeom prst="rect">
                      <a:avLst/>
                    </a:prstGeom>
                    <a:noFill/>
                    <a:ln>
                      <a:noFill/>
                    </a:ln>
                  </pic:spPr>
                </pic:pic>
              </a:graphicData>
            </a:graphic>
          </wp:inline>
        </w:drawing>
      </w:r>
    </w:p>
    <w:p w14:paraId="100927ED" w14:textId="77777777" w:rsidR="004453A9" w:rsidRPr="00E456AF" w:rsidRDefault="004453A9" w:rsidP="004453A9">
      <w:pPr>
        <w:jc w:val="both"/>
        <w:rPr>
          <w:rFonts w:ascii="Arial" w:hAnsi="Arial"/>
          <w:b/>
          <w:bCs/>
          <w:color w:val="1F3864" w:themeColor="accent1" w:themeShade="80"/>
          <w:sz w:val="20"/>
          <w:szCs w:val="20"/>
        </w:rPr>
      </w:pPr>
      <w:r w:rsidRPr="00E456AF">
        <w:rPr>
          <w:rFonts w:ascii="Arial" w:hAnsi="Arial"/>
          <w:b/>
          <w:bCs/>
          <w:color w:val="1F3864" w:themeColor="accent1" w:themeShade="80"/>
          <w:sz w:val="20"/>
          <w:szCs w:val="20"/>
        </w:rPr>
        <w:t>Nova pravila za reciklirano plastiko, ki se uporablja v prehranskem sektorju</w:t>
      </w:r>
    </w:p>
    <w:p w14:paraId="4A4D686B" w14:textId="77777777" w:rsidR="004453A9" w:rsidRPr="00E456AF" w:rsidRDefault="004453A9" w:rsidP="004453A9">
      <w:pPr>
        <w:jc w:val="both"/>
        <w:rPr>
          <w:rFonts w:ascii="Arial" w:hAnsi="Arial"/>
          <w:color w:val="1F3864" w:themeColor="accent1" w:themeShade="80"/>
          <w:sz w:val="20"/>
          <w:szCs w:val="20"/>
        </w:rPr>
      </w:pPr>
    </w:p>
    <w:p w14:paraId="16ABA8FD" w14:textId="77777777" w:rsidR="004453A9" w:rsidRPr="00E456AF" w:rsidRDefault="004453A9" w:rsidP="004453A9">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 xml:space="preserve">Evropska komisija je sprejela uredbo, v kateri je določila nova pravila, da bi reciklirano plastiko lahko varno uporabljali v embalaži za živila v EU. Predvideno je, da bo uredba začela veljati oktobra letos. </w:t>
      </w:r>
    </w:p>
    <w:p w14:paraId="527EBCC3" w14:textId="77777777" w:rsidR="004453A9" w:rsidRPr="00E456AF" w:rsidRDefault="004453A9" w:rsidP="004453A9">
      <w:pPr>
        <w:jc w:val="both"/>
        <w:rPr>
          <w:rFonts w:ascii="Arial" w:hAnsi="Arial"/>
          <w:color w:val="1F3864" w:themeColor="accent1" w:themeShade="80"/>
          <w:sz w:val="20"/>
          <w:szCs w:val="20"/>
        </w:rPr>
      </w:pPr>
    </w:p>
    <w:p w14:paraId="631C7049" w14:textId="77777777" w:rsidR="004453A9" w:rsidRPr="00E456AF" w:rsidRDefault="004453A9" w:rsidP="004453A9">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Več:</w:t>
      </w:r>
    </w:p>
    <w:p w14:paraId="550C8C7E" w14:textId="4B4A4000" w:rsidR="004453A9" w:rsidRPr="002F393B" w:rsidRDefault="00000000" w:rsidP="004453A9">
      <w:pPr>
        <w:jc w:val="both"/>
        <w:rPr>
          <w:rStyle w:val="Hyperlink"/>
          <w:rFonts w:ascii="Arial" w:hAnsi="Arial"/>
          <w:color w:val="FFC000"/>
          <w:sz w:val="20"/>
          <w:szCs w:val="20"/>
        </w:rPr>
      </w:pPr>
      <w:hyperlink r:id="rId12" w:history="1">
        <w:r w:rsidR="004453A9" w:rsidRPr="002F393B">
          <w:rPr>
            <w:rStyle w:val="Hyperlink"/>
            <w:rFonts w:ascii="Arial" w:hAnsi="Arial"/>
            <w:color w:val="FFC000"/>
            <w:sz w:val="20"/>
            <w:szCs w:val="20"/>
          </w:rPr>
          <w:t>Spletna stran z informacijami o novih pravilih</w:t>
        </w:r>
      </w:hyperlink>
    </w:p>
    <w:p w14:paraId="7A86151E" w14:textId="04E506EE" w:rsidR="004453A9" w:rsidRPr="00E456AF" w:rsidRDefault="004453A9" w:rsidP="004453A9">
      <w:pPr>
        <w:jc w:val="both"/>
        <w:rPr>
          <w:rStyle w:val="Hyperlink"/>
          <w:rFonts w:ascii="Arial" w:hAnsi="Arial"/>
          <w:color w:val="1F3864" w:themeColor="accent1" w:themeShade="80"/>
          <w:sz w:val="20"/>
          <w:szCs w:val="20"/>
        </w:rPr>
      </w:pPr>
    </w:p>
    <w:p w14:paraId="614782A5" w14:textId="0F6BD7E6" w:rsidR="004453A9" w:rsidRPr="00E456AF" w:rsidRDefault="004453A9" w:rsidP="004453A9">
      <w:pPr>
        <w:jc w:val="both"/>
        <w:rPr>
          <w:rStyle w:val="Hyperlink"/>
          <w:rFonts w:ascii="Arial" w:hAnsi="Arial"/>
          <w:color w:val="1F3864" w:themeColor="accent1" w:themeShade="80"/>
          <w:sz w:val="20"/>
          <w:szCs w:val="20"/>
        </w:rPr>
      </w:pPr>
    </w:p>
    <w:p w14:paraId="69583EF4" w14:textId="0E5C549B" w:rsidR="00E57727" w:rsidRDefault="00E57727" w:rsidP="00FA39E5">
      <w:pPr>
        <w:jc w:val="both"/>
        <w:rPr>
          <w:rFonts w:ascii="Arial" w:hAnsi="Arial"/>
          <w:b/>
          <w:bCs/>
          <w:color w:val="1F3864" w:themeColor="accent1" w:themeShade="80"/>
          <w:sz w:val="20"/>
          <w:szCs w:val="20"/>
        </w:rPr>
      </w:pPr>
      <w:r>
        <w:rPr>
          <w:rFonts w:ascii="Arial" w:hAnsi="Arial"/>
          <w:b/>
          <w:bCs/>
          <w:noProof/>
          <w:color w:val="1F3864" w:themeColor="accent1" w:themeShade="80"/>
          <w:sz w:val="20"/>
          <w:szCs w:val="20"/>
        </w:rPr>
        <w:drawing>
          <wp:inline distT="0" distB="0" distL="0" distR="0" wp14:anchorId="2FBE3BAD" wp14:editId="1DEC0EC1">
            <wp:extent cx="2662015" cy="10668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3032" cy="1067208"/>
                    </a:xfrm>
                    <a:prstGeom prst="rect">
                      <a:avLst/>
                    </a:prstGeom>
                    <a:noFill/>
                    <a:ln>
                      <a:noFill/>
                    </a:ln>
                  </pic:spPr>
                </pic:pic>
              </a:graphicData>
            </a:graphic>
          </wp:inline>
        </w:drawing>
      </w:r>
    </w:p>
    <w:p w14:paraId="34AFFA2C" w14:textId="08D8343A" w:rsidR="00FA39E5" w:rsidRPr="00E456AF" w:rsidRDefault="00FA39E5" w:rsidP="00FA39E5">
      <w:pPr>
        <w:jc w:val="both"/>
        <w:rPr>
          <w:rFonts w:ascii="Arial" w:hAnsi="Arial"/>
          <w:b/>
          <w:bCs/>
          <w:color w:val="1F3864" w:themeColor="accent1" w:themeShade="80"/>
          <w:sz w:val="20"/>
          <w:szCs w:val="20"/>
        </w:rPr>
      </w:pPr>
      <w:r w:rsidRPr="00E456AF">
        <w:rPr>
          <w:rFonts w:ascii="Arial" w:hAnsi="Arial"/>
          <w:b/>
          <w:bCs/>
          <w:color w:val="1F3864" w:themeColor="accent1" w:themeShade="80"/>
          <w:sz w:val="20"/>
          <w:szCs w:val="20"/>
        </w:rPr>
        <w:t>Predlog za prepoved izdelkov, narejenih s prisilnim delom, na trgu EU</w:t>
      </w:r>
    </w:p>
    <w:p w14:paraId="5E1D43BF" w14:textId="77777777" w:rsidR="00FA39E5" w:rsidRPr="00E456AF" w:rsidRDefault="00FA39E5" w:rsidP="00FA39E5">
      <w:pPr>
        <w:jc w:val="both"/>
        <w:rPr>
          <w:rFonts w:ascii="Arial" w:hAnsi="Arial"/>
          <w:color w:val="1F3864" w:themeColor="accent1" w:themeShade="80"/>
          <w:sz w:val="20"/>
          <w:szCs w:val="20"/>
        </w:rPr>
      </w:pPr>
    </w:p>
    <w:p w14:paraId="23BCE775" w14:textId="77777777" w:rsidR="00FA39E5" w:rsidRPr="00E456AF" w:rsidRDefault="00FA39E5" w:rsidP="00FA39E5">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Evropska komisija je predlagala prepoved izdelkov, narejenih s prisilnim delom, na trgu EU. Predlog zajema izdelke, proizvedene v EU za domačo potrošnjo in izvoz, pa tudi uvoženo blago. Evropska komisija je napovedala, da bo v 18 mesecih od začetka veljavnosti te uredbe izdala tudi smernice.</w:t>
      </w:r>
    </w:p>
    <w:p w14:paraId="21082AA7" w14:textId="77777777" w:rsidR="00FA39E5" w:rsidRPr="00E456AF" w:rsidRDefault="00FA39E5" w:rsidP="00FA39E5">
      <w:pPr>
        <w:jc w:val="both"/>
        <w:rPr>
          <w:rFonts w:ascii="Arial" w:hAnsi="Arial"/>
          <w:color w:val="1F3864" w:themeColor="accent1" w:themeShade="80"/>
          <w:sz w:val="20"/>
          <w:szCs w:val="20"/>
        </w:rPr>
      </w:pPr>
    </w:p>
    <w:p w14:paraId="51591685" w14:textId="77777777" w:rsidR="00FA39E5" w:rsidRPr="00E456AF" w:rsidRDefault="00FA39E5" w:rsidP="00FA39E5">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Več:</w:t>
      </w:r>
    </w:p>
    <w:p w14:paraId="61C1BB97" w14:textId="77777777" w:rsidR="00FA39E5" w:rsidRPr="002F393B" w:rsidRDefault="00000000" w:rsidP="00FA39E5">
      <w:pPr>
        <w:jc w:val="both"/>
        <w:rPr>
          <w:rFonts w:ascii="Arial" w:hAnsi="Arial"/>
          <w:color w:val="FFC000"/>
          <w:sz w:val="20"/>
          <w:szCs w:val="20"/>
        </w:rPr>
      </w:pPr>
      <w:hyperlink r:id="rId14" w:history="1">
        <w:r w:rsidR="00FA39E5" w:rsidRPr="002F393B">
          <w:rPr>
            <w:rStyle w:val="Hyperlink"/>
            <w:rFonts w:ascii="Arial" w:hAnsi="Arial"/>
            <w:color w:val="FFC000"/>
            <w:sz w:val="20"/>
            <w:szCs w:val="20"/>
          </w:rPr>
          <w:t>Predlog uredbe</w:t>
        </w:r>
      </w:hyperlink>
    </w:p>
    <w:p w14:paraId="60467070" w14:textId="168B9FF6" w:rsidR="00FA39E5" w:rsidRPr="00E456AF" w:rsidRDefault="00FA39E5" w:rsidP="00FA39E5">
      <w:pPr>
        <w:jc w:val="both"/>
        <w:rPr>
          <w:rFonts w:ascii="Arial" w:hAnsi="Arial"/>
          <w:color w:val="1F3864" w:themeColor="accent1" w:themeShade="80"/>
          <w:sz w:val="20"/>
          <w:szCs w:val="20"/>
        </w:rPr>
      </w:pPr>
    </w:p>
    <w:p w14:paraId="05844C21" w14:textId="5D5FA662" w:rsidR="00FA39E5" w:rsidRDefault="00FA39E5" w:rsidP="00FA39E5">
      <w:pPr>
        <w:jc w:val="both"/>
        <w:rPr>
          <w:rFonts w:ascii="Arial" w:hAnsi="Arial"/>
          <w:color w:val="1F3864" w:themeColor="accent1" w:themeShade="80"/>
          <w:sz w:val="20"/>
          <w:szCs w:val="20"/>
        </w:rPr>
      </w:pPr>
    </w:p>
    <w:p w14:paraId="397EDC03" w14:textId="009FF316" w:rsidR="007624D6" w:rsidRPr="00E456AF" w:rsidRDefault="007624D6" w:rsidP="00FA39E5">
      <w:pPr>
        <w:jc w:val="both"/>
        <w:rPr>
          <w:rFonts w:ascii="Arial" w:hAnsi="Arial"/>
          <w:color w:val="1F3864" w:themeColor="accent1" w:themeShade="80"/>
          <w:sz w:val="20"/>
          <w:szCs w:val="20"/>
        </w:rPr>
      </w:pPr>
      <w:r>
        <w:rPr>
          <w:rFonts w:ascii="Arial" w:hAnsi="Arial"/>
          <w:noProof/>
          <w:color w:val="1F3864" w:themeColor="accent1" w:themeShade="80"/>
          <w:sz w:val="20"/>
          <w:szCs w:val="20"/>
        </w:rPr>
        <w:lastRenderedPageBreak/>
        <w:drawing>
          <wp:inline distT="0" distB="0" distL="0" distR="0" wp14:anchorId="071A2CF2" wp14:editId="565652FD">
            <wp:extent cx="2614479"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6121" cy="1048408"/>
                    </a:xfrm>
                    <a:prstGeom prst="rect">
                      <a:avLst/>
                    </a:prstGeom>
                    <a:noFill/>
                    <a:ln>
                      <a:noFill/>
                    </a:ln>
                  </pic:spPr>
                </pic:pic>
              </a:graphicData>
            </a:graphic>
          </wp:inline>
        </w:drawing>
      </w:r>
    </w:p>
    <w:p w14:paraId="095457B3" w14:textId="77777777" w:rsidR="00FA39E5" w:rsidRPr="00E456AF" w:rsidRDefault="00FA39E5" w:rsidP="00FA39E5">
      <w:pPr>
        <w:jc w:val="both"/>
        <w:rPr>
          <w:rFonts w:ascii="Arial" w:hAnsi="Arial"/>
          <w:b/>
          <w:bCs/>
          <w:color w:val="1F3864" w:themeColor="accent1" w:themeShade="80"/>
          <w:sz w:val="20"/>
          <w:szCs w:val="20"/>
        </w:rPr>
      </w:pPr>
      <w:r w:rsidRPr="00E456AF">
        <w:rPr>
          <w:rFonts w:ascii="Arial" w:hAnsi="Arial"/>
          <w:b/>
          <w:bCs/>
          <w:color w:val="1F3864" w:themeColor="accent1" w:themeShade="80"/>
          <w:sz w:val="20"/>
          <w:szCs w:val="20"/>
        </w:rPr>
        <w:t>Nova pravila o ustreznih minimalnih plačah</w:t>
      </w:r>
    </w:p>
    <w:p w14:paraId="03B52DCC" w14:textId="77777777" w:rsidR="00FA39E5" w:rsidRPr="00E456AF" w:rsidRDefault="00FA39E5" w:rsidP="00FA39E5">
      <w:pPr>
        <w:jc w:val="both"/>
        <w:rPr>
          <w:rFonts w:ascii="Arial" w:hAnsi="Arial"/>
          <w:color w:val="1F3864" w:themeColor="accent1" w:themeShade="80"/>
          <w:sz w:val="20"/>
          <w:szCs w:val="20"/>
        </w:rPr>
      </w:pPr>
    </w:p>
    <w:p w14:paraId="58AA8E53" w14:textId="77777777" w:rsidR="00FA39E5" w:rsidRPr="00E456AF" w:rsidRDefault="00FA39E5" w:rsidP="00FA39E5">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Poslanci Evropskega parlamenta so sprejeli novo zakonodajo o ustreznih minimalnih plačah v Evropski uniji. Nova direktiva bo veljala za vse delavce v EU, ki imajo pogodbo o zaposlitvi ali so v zaposlitvenem razmerju. Državam članicam, v katerih je minimalna plača že zaščitena izključno s kolektivnimi pogodbami, ne bo treba uvajati teh pravil ali zagotoviti splošne veljavnosti teh dogovorov.</w:t>
      </w:r>
    </w:p>
    <w:p w14:paraId="2222EE3B" w14:textId="77777777" w:rsidR="00FA39E5" w:rsidRPr="00E456AF" w:rsidRDefault="00FA39E5" w:rsidP="00FA39E5">
      <w:pPr>
        <w:jc w:val="both"/>
        <w:rPr>
          <w:rFonts w:ascii="Arial" w:hAnsi="Arial"/>
          <w:color w:val="1F3864" w:themeColor="accent1" w:themeShade="80"/>
          <w:sz w:val="20"/>
          <w:szCs w:val="20"/>
        </w:rPr>
      </w:pPr>
    </w:p>
    <w:p w14:paraId="311A0C60" w14:textId="77777777" w:rsidR="00FA39E5" w:rsidRPr="00E456AF" w:rsidRDefault="00FA39E5" w:rsidP="00FA39E5">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Več:</w:t>
      </w:r>
    </w:p>
    <w:p w14:paraId="4F598887" w14:textId="4573830D" w:rsidR="00FA39E5" w:rsidRPr="002F393B" w:rsidRDefault="00000000" w:rsidP="00FA39E5">
      <w:pPr>
        <w:jc w:val="both"/>
        <w:rPr>
          <w:rStyle w:val="Hyperlink"/>
          <w:rFonts w:ascii="Arial" w:hAnsi="Arial"/>
          <w:color w:val="FFC000"/>
          <w:sz w:val="20"/>
          <w:szCs w:val="20"/>
        </w:rPr>
      </w:pPr>
      <w:hyperlink r:id="rId16" w:history="1">
        <w:r w:rsidR="00FA39E5" w:rsidRPr="002F393B">
          <w:rPr>
            <w:rStyle w:val="Hyperlink"/>
            <w:rFonts w:ascii="Arial" w:hAnsi="Arial"/>
            <w:color w:val="FFC000"/>
            <w:sz w:val="20"/>
            <w:szCs w:val="20"/>
          </w:rPr>
          <w:t>Resolucija</w:t>
        </w:r>
      </w:hyperlink>
    </w:p>
    <w:p w14:paraId="7B777158" w14:textId="30444531" w:rsidR="007A2DC9" w:rsidRPr="00E456AF" w:rsidRDefault="007A2DC9" w:rsidP="00FA39E5">
      <w:pPr>
        <w:jc w:val="both"/>
        <w:rPr>
          <w:rStyle w:val="Hyperlink"/>
          <w:rFonts w:ascii="Arial" w:hAnsi="Arial"/>
          <w:color w:val="1F3864" w:themeColor="accent1" w:themeShade="80"/>
          <w:sz w:val="20"/>
          <w:szCs w:val="20"/>
        </w:rPr>
      </w:pPr>
    </w:p>
    <w:p w14:paraId="461F24F8" w14:textId="41323BDB" w:rsidR="007A2DC9" w:rsidRDefault="007A2DC9" w:rsidP="00FA39E5">
      <w:pPr>
        <w:jc w:val="both"/>
        <w:rPr>
          <w:rStyle w:val="Hyperlink"/>
          <w:rFonts w:ascii="Arial" w:hAnsi="Arial"/>
          <w:color w:val="1F3864" w:themeColor="accent1" w:themeShade="80"/>
          <w:sz w:val="20"/>
          <w:szCs w:val="20"/>
        </w:rPr>
      </w:pPr>
    </w:p>
    <w:p w14:paraId="3F2F1C45" w14:textId="230654A7" w:rsidR="00D17365" w:rsidRPr="00E456AF" w:rsidRDefault="00D17365" w:rsidP="00FA39E5">
      <w:pPr>
        <w:jc w:val="both"/>
        <w:rPr>
          <w:rStyle w:val="Hyperlink"/>
          <w:rFonts w:ascii="Arial" w:hAnsi="Arial"/>
          <w:color w:val="1F3864" w:themeColor="accent1" w:themeShade="80"/>
          <w:sz w:val="20"/>
          <w:szCs w:val="20"/>
        </w:rPr>
      </w:pPr>
      <w:r w:rsidRPr="00D17365">
        <w:rPr>
          <w:rStyle w:val="Hyperlink"/>
          <w:rFonts w:ascii="Arial" w:hAnsi="Arial"/>
          <w:noProof/>
          <w:color w:val="1F3864" w:themeColor="accent1" w:themeShade="80"/>
          <w:sz w:val="20"/>
          <w:szCs w:val="20"/>
          <w:u w:val="none"/>
        </w:rPr>
        <w:drawing>
          <wp:inline distT="0" distB="0" distL="0" distR="0" wp14:anchorId="3F280706" wp14:editId="2E3D6BA3">
            <wp:extent cx="2638247" cy="1057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0734" cy="1058272"/>
                    </a:xfrm>
                    <a:prstGeom prst="rect">
                      <a:avLst/>
                    </a:prstGeom>
                    <a:noFill/>
                    <a:ln>
                      <a:noFill/>
                    </a:ln>
                  </pic:spPr>
                </pic:pic>
              </a:graphicData>
            </a:graphic>
          </wp:inline>
        </w:drawing>
      </w:r>
    </w:p>
    <w:p w14:paraId="36C7F6DF" w14:textId="77777777" w:rsidR="00794096" w:rsidRPr="00E456AF" w:rsidRDefault="00794096" w:rsidP="00794096">
      <w:pPr>
        <w:jc w:val="both"/>
        <w:rPr>
          <w:rFonts w:ascii="Arial" w:hAnsi="Arial"/>
          <w:b/>
          <w:bCs/>
          <w:color w:val="1F3864" w:themeColor="accent1" w:themeShade="80"/>
          <w:sz w:val="20"/>
          <w:szCs w:val="20"/>
        </w:rPr>
      </w:pPr>
      <w:r w:rsidRPr="00E456AF">
        <w:rPr>
          <w:rFonts w:ascii="Arial" w:hAnsi="Arial"/>
          <w:b/>
          <w:bCs/>
          <w:color w:val="1F3864" w:themeColor="accent1" w:themeShade="80"/>
          <w:sz w:val="20"/>
          <w:szCs w:val="20"/>
        </w:rPr>
        <w:t>Vabilo za udeležbo na športno-poslovni konferenci »Poslovne priložnosti v Sloveniji«</w:t>
      </w:r>
    </w:p>
    <w:p w14:paraId="305693B7" w14:textId="77777777" w:rsidR="00794096" w:rsidRPr="00E456AF" w:rsidRDefault="00794096" w:rsidP="00794096">
      <w:pPr>
        <w:jc w:val="both"/>
        <w:rPr>
          <w:rFonts w:ascii="Arial" w:hAnsi="Arial"/>
          <w:color w:val="1F3864" w:themeColor="accent1" w:themeShade="80"/>
          <w:sz w:val="20"/>
          <w:szCs w:val="20"/>
        </w:rPr>
      </w:pPr>
    </w:p>
    <w:p w14:paraId="046DB0FF" w14:textId="77777777" w:rsidR="00794096" w:rsidRPr="00E456AF" w:rsidRDefault="00794096" w:rsidP="00794096">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V okviru evropskega prvenstva za ženske v rokometu bo v Grand hotelu Union v Ljubljani od 2. do 4. novembra športno-poslovna konferenca »Poslovne priložnosti v Sloveniji«. Namen dogodka je povezovanje deležnikov na področju trajnostne transformacije slovenskega gospodarstva. Zastopane teme na dogodku so: Energetika, Trajnostni razvoj, Nove tehnologije, Ekologija, Finančni sektor ter Blockchain tehnologije v bančništvu in financah. Posebej bo poudarjeno področje povezovanja športa in gospodarstva ter krepitev vloge žensk. Prijave za udeležbo so že odprte.</w:t>
      </w:r>
    </w:p>
    <w:p w14:paraId="7F2BCE1F" w14:textId="77777777" w:rsidR="00794096" w:rsidRPr="00E456AF" w:rsidRDefault="00794096" w:rsidP="00794096">
      <w:pPr>
        <w:jc w:val="both"/>
        <w:rPr>
          <w:rFonts w:ascii="Arial" w:hAnsi="Arial"/>
          <w:color w:val="1F3864" w:themeColor="accent1" w:themeShade="80"/>
          <w:sz w:val="20"/>
          <w:szCs w:val="20"/>
        </w:rPr>
      </w:pPr>
    </w:p>
    <w:p w14:paraId="4E8F70E6" w14:textId="77777777" w:rsidR="00794096" w:rsidRPr="00E456AF" w:rsidRDefault="00794096" w:rsidP="00794096">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Več:</w:t>
      </w:r>
    </w:p>
    <w:p w14:paraId="6FEB0849" w14:textId="77777777" w:rsidR="00794096" w:rsidRPr="002F393B" w:rsidRDefault="00000000" w:rsidP="00794096">
      <w:pPr>
        <w:jc w:val="both"/>
        <w:rPr>
          <w:rFonts w:ascii="Arial" w:hAnsi="Arial"/>
          <w:color w:val="FFC000"/>
          <w:sz w:val="20"/>
          <w:szCs w:val="20"/>
        </w:rPr>
      </w:pPr>
      <w:hyperlink r:id="rId18" w:history="1">
        <w:r w:rsidR="00794096" w:rsidRPr="002F393B">
          <w:rPr>
            <w:rStyle w:val="Hyperlink"/>
            <w:rFonts w:ascii="Arial" w:hAnsi="Arial"/>
            <w:color w:val="FFC000"/>
            <w:sz w:val="20"/>
            <w:szCs w:val="20"/>
          </w:rPr>
          <w:t>Spletna stran konference</w:t>
        </w:r>
      </w:hyperlink>
    </w:p>
    <w:p w14:paraId="26A9C578" w14:textId="4FFD0B49" w:rsidR="00794096" w:rsidRPr="00E456AF" w:rsidRDefault="00794096" w:rsidP="00794096">
      <w:pPr>
        <w:jc w:val="both"/>
        <w:rPr>
          <w:rFonts w:ascii="Arial" w:hAnsi="Arial"/>
          <w:color w:val="1F3864" w:themeColor="accent1" w:themeShade="80"/>
          <w:sz w:val="20"/>
          <w:szCs w:val="20"/>
        </w:rPr>
      </w:pPr>
    </w:p>
    <w:p w14:paraId="39A6C9CF" w14:textId="6F16ED91" w:rsidR="00794096" w:rsidRDefault="00794096" w:rsidP="00794096">
      <w:pPr>
        <w:jc w:val="both"/>
        <w:rPr>
          <w:rFonts w:ascii="Arial" w:hAnsi="Arial"/>
          <w:color w:val="1F3864" w:themeColor="accent1" w:themeShade="80"/>
          <w:sz w:val="20"/>
          <w:szCs w:val="20"/>
        </w:rPr>
      </w:pPr>
    </w:p>
    <w:p w14:paraId="5DA4C57E" w14:textId="3F4BD35B" w:rsidR="001961D5" w:rsidRPr="00E456AF" w:rsidRDefault="001961D5" w:rsidP="00794096">
      <w:pPr>
        <w:jc w:val="both"/>
        <w:rPr>
          <w:rFonts w:ascii="Arial" w:hAnsi="Arial"/>
          <w:color w:val="1F3864" w:themeColor="accent1" w:themeShade="80"/>
          <w:sz w:val="20"/>
          <w:szCs w:val="20"/>
        </w:rPr>
      </w:pPr>
      <w:r>
        <w:rPr>
          <w:rFonts w:ascii="Arial" w:hAnsi="Arial"/>
          <w:noProof/>
          <w:color w:val="1F3864" w:themeColor="accent1" w:themeShade="80"/>
          <w:sz w:val="20"/>
          <w:szCs w:val="20"/>
        </w:rPr>
        <w:drawing>
          <wp:inline distT="0" distB="0" distL="0" distR="0" wp14:anchorId="661645F1" wp14:editId="32D0ABE7">
            <wp:extent cx="2661831" cy="1066726"/>
            <wp:effectExtent l="0" t="0" r="571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5311" cy="1068121"/>
                    </a:xfrm>
                    <a:prstGeom prst="rect">
                      <a:avLst/>
                    </a:prstGeom>
                    <a:noFill/>
                    <a:ln>
                      <a:noFill/>
                    </a:ln>
                  </pic:spPr>
                </pic:pic>
              </a:graphicData>
            </a:graphic>
          </wp:inline>
        </w:drawing>
      </w:r>
    </w:p>
    <w:p w14:paraId="5A094444" w14:textId="77777777" w:rsidR="00794096" w:rsidRPr="00E456AF" w:rsidRDefault="00794096" w:rsidP="00794096">
      <w:pPr>
        <w:jc w:val="both"/>
        <w:rPr>
          <w:rFonts w:ascii="Arial" w:hAnsi="Arial"/>
          <w:b/>
          <w:bCs/>
          <w:color w:val="1F3864" w:themeColor="accent1" w:themeShade="80"/>
          <w:sz w:val="20"/>
          <w:szCs w:val="20"/>
        </w:rPr>
      </w:pPr>
      <w:r w:rsidRPr="00E456AF">
        <w:rPr>
          <w:rFonts w:ascii="Arial" w:hAnsi="Arial"/>
          <w:b/>
          <w:bCs/>
          <w:color w:val="1F3864" w:themeColor="accent1" w:themeShade="80"/>
          <w:sz w:val="20"/>
          <w:szCs w:val="20"/>
        </w:rPr>
        <w:t>Javno posvetovanje o reformi carinske unije EU</w:t>
      </w:r>
    </w:p>
    <w:p w14:paraId="308CBCF8" w14:textId="77777777" w:rsidR="00794096" w:rsidRPr="00E456AF" w:rsidRDefault="00794096" w:rsidP="00794096">
      <w:pPr>
        <w:jc w:val="both"/>
        <w:rPr>
          <w:rFonts w:ascii="Arial" w:hAnsi="Arial"/>
          <w:bCs/>
          <w:color w:val="1F3864" w:themeColor="accent1" w:themeShade="80"/>
          <w:sz w:val="20"/>
          <w:szCs w:val="20"/>
        </w:rPr>
      </w:pPr>
    </w:p>
    <w:p w14:paraId="223A4EE3" w14:textId="77777777" w:rsidR="00794096" w:rsidRPr="00E456AF" w:rsidRDefault="00794096" w:rsidP="00794096">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Evropska komisija prek javnega posvetovanja do 14. septembra zbira mnenja in predloge o reformi carinske unije EU. Cilj te pobude je revizija carinskega zakonika Unije, da bi se okrepil pravni okvir za carino, tako da bi bil primeren za reševanje izzivov, ki so se pojavili v zadnjih letih.</w:t>
      </w:r>
    </w:p>
    <w:p w14:paraId="31F1174F" w14:textId="77777777" w:rsidR="00794096" w:rsidRPr="00E456AF" w:rsidRDefault="00794096" w:rsidP="00794096">
      <w:pPr>
        <w:jc w:val="both"/>
        <w:rPr>
          <w:rFonts w:ascii="Arial" w:hAnsi="Arial"/>
          <w:color w:val="1F3864" w:themeColor="accent1" w:themeShade="80"/>
          <w:sz w:val="20"/>
          <w:szCs w:val="20"/>
        </w:rPr>
      </w:pPr>
    </w:p>
    <w:p w14:paraId="0917F810" w14:textId="77777777" w:rsidR="00794096" w:rsidRPr="00E456AF" w:rsidRDefault="00794096" w:rsidP="00794096">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Več:</w:t>
      </w:r>
    </w:p>
    <w:p w14:paraId="7794206D" w14:textId="4E98DF51" w:rsidR="00794096" w:rsidRPr="002F393B" w:rsidRDefault="00000000" w:rsidP="00794096">
      <w:pPr>
        <w:jc w:val="both"/>
        <w:rPr>
          <w:rStyle w:val="Hyperlink"/>
          <w:rFonts w:ascii="Arial" w:hAnsi="Arial"/>
          <w:color w:val="FFC000"/>
          <w:sz w:val="20"/>
          <w:szCs w:val="20"/>
        </w:rPr>
      </w:pPr>
      <w:hyperlink r:id="rId20" w:history="1">
        <w:r w:rsidR="00794096" w:rsidRPr="002F393B">
          <w:rPr>
            <w:rStyle w:val="Hyperlink"/>
            <w:rFonts w:ascii="Arial" w:hAnsi="Arial"/>
            <w:color w:val="FFC000"/>
            <w:sz w:val="20"/>
            <w:szCs w:val="20"/>
          </w:rPr>
          <w:t>Spletna stran javnega posvetovanja</w:t>
        </w:r>
      </w:hyperlink>
    </w:p>
    <w:p w14:paraId="59BC0D73" w14:textId="5C1B6DC6" w:rsidR="00794096" w:rsidRDefault="00794096" w:rsidP="00794096">
      <w:pPr>
        <w:jc w:val="both"/>
        <w:rPr>
          <w:color w:val="1F3864" w:themeColor="accent1" w:themeShade="80"/>
        </w:rPr>
      </w:pPr>
    </w:p>
    <w:p w14:paraId="234F3673" w14:textId="77777777" w:rsidR="00583B58" w:rsidRPr="00E456AF" w:rsidRDefault="00583B58" w:rsidP="00794096">
      <w:pPr>
        <w:jc w:val="both"/>
        <w:rPr>
          <w:color w:val="1F3864" w:themeColor="accent1" w:themeShade="80"/>
        </w:rPr>
      </w:pPr>
    </w:p>
    <w:p w14:paraId="08ACF2A8" w14:textId="519E3B1D" w:rsidR="00794096" w:rsidRPr="00E456AF" w:rsidRDefault="009B20BE" w:rsidP="00794096">
      <w:pPr>
        <w:jc w:val="both"/>
        <w:rPr>
          <w:color w:val="1F3864" w:themeColor="accent1" w:themeShade="80"/>
        </w:rPr>
      </w:pPr>
      <w:r>
        <w:rPr>
          <w:noProof/>
          <w:color w:val="1F3864" w:themeColor="accent1" w:themeShade="80"/>
        </w:rPr>
        <w:drawing>
          <wp:inline distT="0" distB="0" distL="0" distR="0" wp14:anchorId="168DC6D5" wp14:editId="093C6AEE">
            <wp:extent cx="2662015" cy="106680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63380" cy="1067347"/>
                    </a:xfrm>
                    <a:prstGeom prst="rect">
                      <a:avLst/>
                    </a:prstGeom>
                    <a:noFill/>
                    <a:ln>
                      <a:noFill/>
                    </a:ln>
                  </pic:spPr>
                </pic:pic>
              </a:graphicData>
            </a:graphic>
          </wp:inline>
        </w:drawing>
      </w:r>
    </w:p>
    <w:p w14:paraId="6DE5D0A6" w14:textId="77777777" w:rsidR="00794096" w:rsidRPr="00E456AF" w:rsidRDefault="00794096" w:rsidP="00794096">
      <w:pPr>
        <w:jc w:val="both"/>
        <w:rPr>
          <w:rFonts w:ascii="Arial" w:hAnsi="Arial"/>
          <w:b/>
          <w:bCs/>
          <w:color w:val="1F3864" w:themeColor="accent1" w:themeShade="80"/>
          <w:sz w:val="20"/>
          <w:szCs w:val="20"/>
        </w:rPr>
      </w:pPr>
      <w:r w:rsidRPr="00E456AF">
        <w:rPr>
          <w:rFonts w:ascii="Arial" w:hAnsi="Arial"/>
          <w:b/>
          <w:bCs/>
          <w:color w:val="1F3864" w:themeColor="accent1" w:themeShade="80"/>
          <w:sz w:val="20"/>
          <w:szCs w:val="20"/>
        </w:rPr>
        <w:t>Slovenija je na 11. mestu indeksa digitalnega gospodarstva in družbe</w:t>
      </w:r>
    </w:p>
    <w:p w14:paraId="2482644C" w14:textId="77777777" w:rsidR="00794096" w:rsidRPr="00E456AF" w:rsidRDefault="00794096" w:rsidP="00794096">
      <w:pPr>
        <w:jc w:val="both"/>
        <w:rPr>
          <w:rFonts w:ascii="Arial" w:hAnsi="Arial"/>
          <w:color w:val="1F3864" w:themeColor="accent1" w:themeShade="80"/>
          <w:sz w:val="20"/>
          <w:szCs w:val="20"/>
        </w:rPr>
      </w:pPr>
    </w:p>
    <w:p w14:paraId="394E71FB" w14:textId="77777777" w:rsidR="00794096" w:rsidRPr="00E456AF" w:rsidRDefault="00794096" w:rsidP="00794096">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Finska, Danska, Nizozemska in Švedska so najnaprednejša digitalna gospodarstva v EU. Slovenija je v splošni razvrstitvi na 11. mestu. To izhaja iz rezultatov indeksa digitalnega gospodarstva in družbe (DESI) za leto 2022, ki jih je objavila Evropska komisija.</w:t>
      </w:r>
    </w:p>
    <w:p w14:paraId="117770C5" w14:textId="77777777" w:rsidR="00794096" w:rsidRPr="00E456AF" w:rsidRDefault="00794096" w:rsidP="00794096">
      <w:pPr>
        <w:jc w:val="both"/>
        <w:rPr>
          <w:rFonts w:ascii="Arial" w:hAnsi="Arial"/>
          <w:color w:val="1F3864" w:themeColor="accent1" w:themeShade="80"/>
          <w:sz w:val="20"/>
          <w:szCs w:val="20"/>
        </w:rPr>
      </w:pPr>
    </w:p>
    <w:p w14:paraId="2E2DED17" w14:textId="77777777" w:rsidR="00794096" w:rsidRPr="00E456AF" w:rsidRDefault="00794096" w:rsidP="00794096">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Več:</w:t>
      </w:r>
    </w:p>
    <w:p w14:paraId="32ED55AF" w14:textId="4FB82F4B" w:rsidR="00794096" w:rsidRPr="002F393B" w:rsidRDefault="00000000" w:rsidP="00794096">
      <w:pPr>
        <w:jc w:val="both"/>
        <w:rPr>
          <w:rStyle w:val="Hyperlink"/>
          <w:rFonts w:ascii="Arial" w:hAnsi="Arial"/>
          <w:color w:val="FFC000"/>
          <w:sz w:val="20"/>
          <w:szCs w:val="20"/>
        </w:rPr>
      </w:pPr>
      <w:hyperlink r:id="rId22" w:history="1">
        <w:r w:rsidR="00794096" w:rsidRPr="002F393B">
          <w:rPr>
            <w:rStyle w:val="Hyperlink"/>
            <w:rFonts w:ascii="Arial" w:hAnsi="Arial"/>
            <w:color w:val="FFC000"/>
            <w:sz w:val="20"/>
            <w:szCs w:val="20"/>
          </w:rPr>
          <w:t>Rezultati</w:t>
        </w:r>
      </w:hyperlink>
    </w:p>
    <w:p w14:paraId="67FB2C55" w14:textId="77777777" w:rsidR="00FB3E0C" w:rsidRPr="00E456AF" w:rsidRDefault="00FB3E0C" w:rsidP="00794096">
      <w:pPr>
        <w:jc w:val="both"/>
        <w:rPr>
          <w:rStyle w:val="Hyperlink"/>
          <w:rFonts w:ascii="Arial" w:hAnsi="Arial"/>
          <w:color w:val="1F3864" w:themeColor="accent1" w:themeShade="80"/>
          <w:sz w:val="20"/>
          <w:szCs w:val="20"/>
        </w:rPr>
      </w:pPr>
    </w:p>
    <w:p w14:paraId="6B1F9699" w14:textId="11323C6F" w:rsidR="00FB3E0C" w:rsidRDefault="00FB3E0C" w:rsidP="00794096">
      <w:pPr>
        <w:jc w:val="both"/>
        <w:rPr>
          <w:rStyle w:val="Hyperlink"/>
          <w:rFonts w:ascii="Arial" w:hAnsi="Arial"/>
          <w:color w:val="1F3864" w:themeColor="accent1" w:themeShade="80"/>
          <w:sz w:val="20"/>
          <w:szCs w:val="20"/>
        </w:rPr>
      </w:pPr>
    </w:p>
    <w:p w14:paraId="4F453654" w14:textId="74596B3F" w:rsidR="007A74CA" w:rsidRPr="00E456AF" w:rsidRDefault="007A74CA" w:rsidP="00794096">
      <w:pPr>
        <w:jc w:val="both"/>
        <w:rPr>
          <w:rStyle w:val="Hyperlink"/>
          <w:rFonts w:ascii="Arial" w:hAnsi="Arial"/>
          <w:color w:val="1F3864" w:themeColor="accent1" w:themeShade="80"/>
          <w:sz w:val="20"/>
          <w:szCs w:val="20"/>
        </w:rPr>
      </w:pPr>
      <w:r w:rsidRPr="007A74CA">
        <w:rPr>
          <w:rStyle w:val="Hyperlink"/>
          <w:rFonts w:ascii="Arial" w:hAnsi="Arial"/>
          <w:noProof/>
          <w:color w:val="1F3864" w:themeColor="accent1" w:themeShade="80"/>
          <w:sz w:val="20"/>
          <w:szCs w:val="20"/>
          <w:u w:val="none"/>
        </w:rPr>
        <w:drawing>
          <wp:inline distT="0" distB="0" distL="0" distR="0" wp14:anchorId="578DA5E9" wp14:editId="3F1EF276">
            <wp:extent cx="2628900" cy="10535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33177" cy="1055243"/>
                    </a:xfrm>
                    <a:prstGeom prst="rect">
                      <a:avLst/>
                    </a:prstGeom>
                    <a:noFill/>
                    <a:ln>
                      <a:noFill/>
                    </a:ln>
                  </pic:spPr>
                </pic:pic>
              </a:graphicData>
            </a:graphic>
          </wp:inline>
        </w:drawing>
      </w:r>
    </w:p>
    <w:p w14:paraId="3EF95FF0" w14:textId="77777777" w:rsidR="00FB3E0C" w:rsidRPr="00E456AF" w:rsidRDefault="00FB3E0C" w:rsidP="00FB3E0C">
      <w:pPr>
        <w:jc w:val="both"/>
        <w:rPr>
          <w:rFonts w:ascii="Arial" w:hAnsi="Arial"/>
          <w:b/>
          <w:bCs/>
          <w:color w:val="1F3864" w:themeColor="accent1" w:themeShade="80"/>
          <w:sz w:val="20"/>
          <w:szCs w:val="20"/>
        </w:rPr>
      </w:pPr>
      <w:r w:rsidRPr="00E456AF">
        <w:rPr>
          <w:rFonts w:ascii="Arial" w:hAnsi="Arial"/>
          <w:b/>
          <w:bCs/>
          <w:color w:val="1F3864" w:themeColor="accent1" w:themeShade="80"/>
          <w:sz w:val="20"/>
          <w:szCs w:val="20"/>
        </w:rPr>
        <w:t>Evropska komisija je odobrila slovensko shemo za podporo pridelovalcem kmetijskih pridelkov</w:t>
      </w:r>
    </w:p>
    <w:p w14:paraId="7FE24D48" w14:textId="77777777" w:rsidR="00FB3E0C" w:rsidRPr="00E456AF" w:rsidRDefault="00FB3E0C" w:rsidP="00FB3E0C">
      <w:pPr>
        <w:jc w:val="both"/>
        <w:rPr>
          <w:rFonts w:ascii="Arial" w:hAnsi="Arial"/>
          <w:color w:val="1F3864" w:themeColor="accent1" w:themeShade="80"/>
          <w:sz w:val="20"/>
          <w:szCs w:val="20"/>
        </w:rPr>
      </w:pPr>
    </w:p>
    <w:p w14:paraId="27BBADDB" w14:textId="77777777" w:rsidR="00FB3E0C" w:rsidRPr="00E456AF" w:rsidRDefault="00FB3E0C" w:rsidP="00FB3E0C">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Evropska komisija je odobrila 2,1 milijona evrov vredno slovensko shemo državne pomoči za podporo primarnim pridelovalcem kmetijskih pridelkov, ki so jih prizadele posledice ruske agresije na Ukrajino. Pomoč bo v obliki neposrednih nepovratnih sredstev krila del dodatnih stroškov, ki so jih upravičenci ob trenutni geopolitični krizi imeli zaradi zvišanja cen energije, živalske hrane, goriva in drugih surovin.</w:t>
      </w:r>
    </w:p>
    <w:p w14:paraId="66097735" w14:textId="77777777" w:rsidR="00FB3E0C" w:rsidRPr="00E456AF" w:rsidRDefault="00FB3E0C" w:rsidP="00FB3E0C">
      <w:pPr>
        <w:jc w:val="both"/>
        <w:rPr>
          <w:rFonts w:ascii="Arial" w:hAnsi="Arial"/>
          <w:color w:val="1F3864" w:themeColor="accent1" w:themeShade="80"/>
          <w:sz w:val="20"/>
          <w:szCs w:val="20"/>
        </w:rPr>
      </w:pPr>
    </w:p>
    <w:p w14:paraId="142F257E" w14:textId="77777777" w:rsidR="00FB3E0C" w:rsidRPr="00E456AF" w:rsidRDefault="00FB3E0C" w:rsidP="00FB3E0C">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Več:</w:t>
      </w:r>
    </w:p>
    <w:p w14:paraId="6FBE0233" w14:textId="77777777" w:rsidR="00FB3E0C" w:rsidRPr="002F393B" w:rsidRDefault="00000000" w:rsidP="00FB3E0C">
      <w:pPr>
        <w:jc w:val="both"/>
        <w:rPr>
          <w:color w:val="FFC000"/>
        </w:rPr>
      </w:pPr>
      <w:hyperlink r:id="rId24" w:history="1">
        <w:r w:rsidR="00FB3E0C" w:rsidRPr="002F393B">
          <w:rPr>
            <w:rStyle w:val="Hyperlink"/>
            <w:rFonts w:ascii="Arial" w:hAnsi="Arial"/>
            <w:color w:val="FFC000"/>
            <w:sz w:val="20"/>
            <w:szCs w:val="20"/>
          </w:rPr>
          <w:t>Sklep o odobritvi sheme</w:t>
        </w:r>
      </w:hyperlink>
    </w:p>
    <w:p w14:paraId="67675DE7" w14:textId="4221A305" w:rsidR="00FB3E0C" w:rsidRPr="00E456AF" w:rsidRDefault="00FB3E0C" w:rsidP="00FB3E0C">
      <w:pPr>
        <w:jc w:val="both"/>
        <w:rPr>
          <w:color w:val="1F3864" w:themeColor="accent1" w:themeShade="80"/>
        </w:rPr>
      </w:pPr>
    </w:p>
    <w:p w14:paraId="1F77BDC7" w14:textId="5228F420" w:rsidR="00FB3E0C" w:rsidRDefault="00FB3E0C" w:rsidP="00FB3E0C">
      <w:pPr>
        <w:jc w:val="both"/>
        <w:rPr>
          <w:color w:val="1F3864" w:themeColor="accent1" w:themeShade="80"/>
        </w:rPr>
      </w:pPr>
    </w:p>
    <w:p w14:paraId="082A426D" w14:textId="6A639300" w:rsidR="004C5533" w:rsidRPr="00E456AF" w:rsidRDefault="004C5533" w:rsidP="00FB3E0C">
      <w:pPr>
        <w:jc w:val="both"/>
        <w:rPr>
          <w:color w:val="1F3864" w:themeColor="accent1" w:themeShade="80"/>
        </w:rPr>
      </w:pPr>
      <w:r>
        <w:rPr>
          <w:noProof/>
          <w:color w:val="1F3864" w:themeColor="accent1" w:themeShade="80"/>
        </w:rPr>
        <w:lastRenderedPageBreak/>
        <w:drawing>
          <wp:inline distT="0" distB="0" distL="0" distR="0" wp14:anchorId="476A5DBA" wp14:editId="53EA0BE3">
            <wp:extent cx="2638247" cy="1057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9446" cy="1057756"/>
                    </a:xfrm>
                    <a:prstGeom prst="rect">
                      <a:avLst/>
                    </a:prstGeom>
                    <a:noFill/>
                    <a:ln>
                      <a:noFill/>
                    </a:ln>
                  </pic:spPr>
                </pic:pic>
              </a:graphicData>
            </a:graphic>
          </wp:inline>
        </w:drawing>
      </w:r>
    </w:p>
    <w:p w14:paraId="038A5F08" w14:textId="77777777" w:rsidR="00FB3E0C" w:rsidRPr="00E456AF" w:rsidRDefault="00FB3E0C" w:rsidP="00FB3E0C">
      <w:pPr>
        <w:jc w:val="both"/>
        <w:rPr>
          <w:rFonts w:ascii="Arial" w:hAnsi="Arial"/>
          <w:b/>
          <w:bCs/>
          <w:color w:val="1F3864" w:themeColor="accent1" w:themeShade="80"/>
          <w:sz w:val="20"/>
          <w:szCs w:val="20"/>
        </w:rPr>
      </w:pPr>
      <w:r w:rsidRPr="00E456AF">
        <w:rPr>
          <w:rFonts w:ascii="Arial" w:hAnsi="Arial"/>
          <w:b/>
          <w:bCs/>
          <w:color w:val="1F3864" w:themeColor="accent1" w:themeShade="80"/>
          <w:sz w:val="20"/>
          <w:szCs w:val="20"/>
        </w:rPr>
        <w:t>Smernice o uporabi očiščene komunalne odpadne vode za namakanje v kmetijstvu</w:t>
      </w:r>
    </w:p>
    <w:p w14:paraId="6E6C6FE6" w14:textId="77777777" w:rsidR="00FB3E0C" w:rsidRPr="00E456AF" w:rsidRDefault="00FB3E0C" w:rsidP="00FB3E0C">
      <w:pPr>
        <w:jc w:val="both"/>
        <w:rPr>
          <w:rFonts w:ascii="Arial" w:hAnsi="Arial"/>
          <w:color w:val="1F3864" w:themeColor="accent1" w:themeShade="80"/>
          <w:sz w:val="20"/>
          <w:szCs w:val="20"/>
        </w:rPr>
      </w:pPr>
    </w:p>
    <w:p w14:paraId="510DBB05" w14:textId="77777777" w:rsidR="00FB3E0C" w:rsidRPr="00E456AF" w:rsidRDefault="00FB3E0C" w:rsidP="00FB3E0C">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 xml:space="preserve">Evropska komisija je objavila smernice o ponovni uporabi očiščene komunalne odpadne vode za namakanje v kmetijstvu. Uredba o ponovni uporabi vode, na katero se nanašajo </w:t>
      </w:r>
      <w:r w:rsidRPr="00E456AF">
        <w:rPr>
          <w:rFonts w:ascii="Arial" w:hAnsi="Arial"/>
          <w:color w:val="1F3864" w:themeColor="accent1" w:themeShade="80"/>
          <w:sz w:val="20"/>
          <w:szCs w:val="20"/>
        </w:rPr>
        <w:t xml:space="preserve">smernice in ki se bo uporabljala od junija 2023, določa minimalne zahteve glede kakovosti vode, obvladovanja tveganja in spremljanja, vse z namenom, da je ponovna uporaba vode varna. </w:t>
      </w:r>
    </w:p>
    <w:p w14:paraId="16CCA162" w14:textId="77777777" w:rsidR="00FB3E0C" w:rsidRPr="00E456AF" w:rsidRDefault="00FB3E0C" w:rsidP="00FB3E0C">
      <w:pPr>
        <w:jc w:val="both"/>
        <w:rPr>
          <w:rFonts w:ascii="Arial" w:hAnsi="Arial"/>
          <w:color w:val="1F3864" w:themeColor="accent1" w:themeShade="80"/>
          <w:sz w:val="20"/>
          <w:szCs w:val="20"/>
        </w:rPr>
      </w:pPr>
    </w:p>
    <w:p w14:paraId="4357FC07" w14:textId="77777777" w:rsidR="00FB3E0C" w:rsidRPr="00E456AF" w:rsidRDefault="00FB3E0C" w:rsidP="00FB3E0C">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Več:</w:t>
      </w:r>
    </w:p>
    <w:p w14:paraId="216C60B3" w14:textId="77777777" w:rsidR="00FB3E0C" w:rsidRPr="002F393B" w:rsidRDefault="00000000" w:rsidP="00FB3E0C">
      <w:pPr>
        <w:jc w:val="both"/>
        <w:rPr>
          <w:rFonts w:ascii="Arial" w:hAnsi="Arial"/>
          <w:color w:val="FFC000"/>
          <w:sz w:val="20"/>
          <w:szCs w:val="20"/>
        </w:rPr>
      </w:pPr>
      <w:hyperlink r:id="rId26" w:history="1">
        <w:r w:rsidR="00FB3E0C" w:rsidRPr="002F393B">
          <w:rPr>
            <w:rStyle w:val="Hyperlink"/>
            <w:rFonts w:ascii="Arial" w:hAnsi="Arial"/>
            <w:color w:val="FFC000"/>
            <w:sz w:val="20"/>
            <w:szCs w:val="20"/>
          </w:rPr>
          <w:t>Smernice</w:t>
        </w:r>
      </w:hyperlink>
    </w:p>
    <w:p w14:paraId="55C689CB" w14:textId="77777777" w:rsidR="00FB3E0C" w:rsidRPr="00E456AF" w:rsidRDefault="00FB3E0C" w:rsidP="00FB3E0C">
      <w:pPr>
        <w:jc w:val="both"/>
        <w:rPr>
          <w:rFonts w:ascii="Arial" w:hAnsi="Arial"/>
          <w:color w:val="1F3864" w:themeColor="accent1" w:themeShade="80"/>
          <w:sz w:val="20"/>
          <w:szCs w:val="20"/>
        </w:rPr>
      </w:pPr>
      <w:r w:rsidRPr="00E456AF">
        <w:rPr>
          <w:rFonts w:ascii="Arial" w:hAnsi="Arial"/>
          <w:color w:val="1F3864" w:themeColor="accent1" w:themeShade="80"/>
          <w:sz w:val="20"/>
          <w:szCs w:val="20"/>
        </w:rPr>
        <w:t>in</w:t>
      </w:r>
    </w:p>
    <w:p w14:paraId="3CA117A0" w14:textId="77777777" w:rsidR="00FB3E0C" w:rsidRPr="002F393B" w:rsidRDefault="00000000" w:rsidP="00FB3E0C">
      <w:pPr>
        <w:jc w:val="both"/>
        <w:rPr>
          <w:rFonts w:ascii="Arial" w:hAnsi="Arial"/>
          <w:color w:val="FFC000"/>
          <w:sz w:val="20"/>
          <w:szCs w:val="20"/>
        </w:rPr>
      </w:pPr>
      <w:hyperlink r:id="rId27" w:history="1">
        <w:r w:rsidR="00FB3E0C" w:rsidRPr="002F393B">
          <w:rPr>
            <w:rStyle w:val="Hyperlink"/>
            <w:rFonts w:ascii="Arial" w:hAnsi="Arial"/>
            <w:color w:val="FFC000"/>
            <w:sz w:val="20"/>
            <w:szCs w:val="20"/>
          </w:rPr>
          <w:t>Uredba</w:t>
        </w:r>
      </w:hyperlink>
    </w:p>
    <w:p w14:paraId="2435CCAA" w14:textId="77777777" w:rsidR="00FB3E0C" w:rsidRPr="00E456AF" w:rsidRDefault="00FB3E0C" w:rsidP="00794096">
      <w:pPr>
        <w:jc w:val="both"/>
        <w:rPr>
          <w:rFonts w:ascii="Arial" w:hAnsi="Arial"/>
          <w:color w:val="1F3864" w:themeColor="accent1" w:themeShade="80"/>
          <w:sz w:val="20"/>
          <w:szCs w:val="20"/>
        </w:rPr>
      </w:pPr>
    </w:p>
    <w:p w14:paraId="500326F0" w14:textId="77777777" w:rsidR="007A2DC9" w:rsidRPr="00E456AF" w:rsidRDefault="007A2DC9" w:rsidP="00FA39E5">
      <w:pPr>
        <w:jc w:val="both"/>
        <w:rPr>
          <w:rFonts w:ascii="Arial" w:hAnsi="Arial"/>
          <w:color w:val="1F3864" w:themeColor="accent1" w:themeShade="80"/>
          <w:sz w:val="20"/>
          <w:szCs w:val="20"/>
        </w:rPr>
      </w:pPr>
    </w:p>
    <w:p w14:paraId="374651DF" w14:textId="77777777" w:rsidR="004453A9" w:rsidRPr="00E456AF" w:rsidRDefault="004453A9" w:rsidP="004453A9">
      <w:pPr>
        <w:jc w:val="both"/>
        <w:rPr>
          <w:rFonts w:ascii="Arial" w:hAnsi="Arial"/>
          <w:color w:val="1F3864" w:themeColor="accent1" w:themeShade="80"/>
          <w:sz w:val="20"/>
          <w:szCs w:val="20"/>
        </w:rPr>
      </w:pPr>
    </w:p>
    <w:p w14:paraId="56368457" w14:textId="77777777" w:rsidR="00E209EE" w:rsidRPr="00E456AF" w:rsidRDefault="00E209EE" w:rsidP="00E209EE">
      <w:pPr>
        <w:jc w:val="both"/>
        <w:rPr>
          <w:rFonts w:ascii="Arial" w:hAnsi="Arial"/>
          <w:color w:val="1F3864" w:themeColor="accent1" w:themeShade="80"/>
          <w:sz w:val="20"/>
          <w:szCs w:val="20"/>
        </w:rPr>
      </w:pPr>
    </w:p>
    <w:p w14:paraId="1BF49EFF" w14:textId="01E4303B" w:rsidR="00065E62" w:rsidRPr="00E456AF" w:rsidRDefault="00065E62" w:rsidP="00065E62">
      <w:pPr>
        <w:jc w:val="both"/>
        <w:rPr>
          <w:rFonts w:ascii="Arial" w:hAnsi="Arial"/>
          <w:color w:val="1F3864" w:themeColor="accent1" w:themeShade="80"/>
          <w:sz w:val="20"/>
          <w:szCs w:val="20"/>
        </w:rPr>
        <w:sectPr w:rsidR="00065E62" w:rsidRPr="00E456AF" w:rsidSect="00572478">
          <w:headerReference w:type="first" r:id="rId28"/>
          <w:pgSz w:w="11906" w:h="16838"/>
          <w:pgMar w:top="1134" w:right="1440" w:bottom="1276" w:left="1440" w:header="708" w:footer="708" w:gutter="0"/>
          <w:cols w:num="2" w:space="708"/>
          <w:titlePg/>
          <w:docGrid w:linePitch="360"/>
        </w:sectPr>
      </w:pPr>
    </w:p>
    <w:p w14:paraId="705B84FE" w14:textId="77777777" w:rsidR="00970D17" w:rsidRPr="00E456AF" w:rsidRDefault="00970D17">
      <w:pPr>
        <w:rPr>
          <w:color w:val="1F3864" w:themeColor="accent1" w:themeShade="80"/>
        </w:rPr>
      </w:pPr>
    </w:p>
    <w:sectPr w:rsidR="00970D17" w:rsidRPr="00E456AF" w:rsidSect="00970D1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FDDE" w14:textId="77777777" w:rsidR="00CD7328" w:rsidRDefault="00CD7328" w:rsidP="00603E26">
      <w:r>
        <w:separator/>
      </w:r>
    </w:p>
  </w:endnote>
  <w:endnote w:type="continuationSeparator" w:id="0">
    <w:p w14:paraId="5E154C02" w14:textId="77777777" w:rsidR="00CD7328" w:rsidRDefault="00CD7328" w:rsidP="0060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02EE" w14:textId="77777777" w:rsidR="00CD7328" w:rsidRDefault="00CD7328" w:rsidP="00603E26">
      <w:r>
        <w:separator/>
      </w:r>
    </w:p>
  </w:footnote>
  <w:footnote w:type="continuationSeparator" w:id="0">
    <w:p w14:paraId="654AC8B3" w14:textId="77777777" w:rsidR="00CD7328" w:rsidRDefault="00CD7328" w:rsidP="00603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FC2A" w14:textId="0589F392" w:rsidR="00603E26" w:rsidRDefault="00C70132" w:rsidP="00C70132">
    <w:pPr>
      <w:pStyle w:val="Header"/>
      <w:jc w:val="center"/>
    </w:pPr>
    <w:r>
      <w:rPr>
        <w:noProof/>
      </w:rPr>
      <w:drawing>
        <wp:inline distT="0" distB="0" distL="0" distR="0" wp14:anchorId="191A745A" wp14:editId="0E2A3D9A">
          <wp:extent cx="5715000" cy="26384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2638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35"/>
    <w:rsid w:val="00065E62"/>
    <w:rsid w:val="000D588B"/>
    <w:rsid w:val="001961D5"/>
    <w:rsid w:val="00287579"/>
    <w:rsid w:val="002F393B"/>
    <w:rsid w:val="003E633C"/>
    <w:rsid w:val="004453A9"/>
    <w:rsid w:val="004C5533"/>
    <w:rsid w:val="00514635"/>
    <w:rsid w:val="00523A7D"/>
    <w:rsid w:val="00544B5F"/>
    <w:rsid w:val="00572478"/>
    <w:rsid w:val="00583B58"/>
    <w:rsid w:val="00603E26"/>
    <w:rsid w:val="00625DAD"/>
    <w:rsid w:val="00666CD6"/>
    <w:rsid w:val="00691356"/>
    <w:rsid w:val="007624D6"/>
    <w:rsid w:val="00775FAB"/>
    <w:rsid w:val="00794096"/>
    <w:rsid w:val="007A2DC9"/>
    <w:rsid w:val="007A74CA"/>
    <w:rsid w:val="007E2428"/>
    <w:rsid w:val="00865B31"/>
    <w:rsid w:val="00934518"/>
    <w:rsid w:val="00970D17"/>
    <w:rsid w:val="009B0AF7"/>
    <w:rsid w:val="009B20BE"/>
    <w:rsid w:val="009B2683"/>
    <w:rsid w:val="00A24230"/>
    <w:rsid w:val="00A3339A"/>
    <w:rsid w:val="00AA4676"/>
    <w:rsid w:val="00AA7E39"/>
    <w:rsid w:val="00C15A4E"/>
    <w:rsid w:val="00C300BB"/>
    <w:rsid w:val="00C70132"/>
    <w:rsid w:val="00C83BB1"/>
    <w:rsid w:val="00C915C1"/>
    <w:rsid w:val="00C93177"/>
    <w:rsid w:val="00C93614"/>
    <w:rsid w:val="00CC559F"/>
    <w:rsid w:val="00CD7328"/>
    <w:rsid w:val="00CE7AA7"/>
    <w:rsid w:val="00D17365"/>
    <w:rsid w:val="00D347F8"/>
    <w:rsid w:val="00E05188"/>
    <w:rsid w:val="00E209EE"/>
    <w:rsid w:val="00E23C38"/>
    <w:rsid w:val="00E456AF"/>
    <w:rsid w:val="00E57727"/>
    <w:rsid w:val="00FA39E5"/>
    <w:rsid w:val="00FB3E0C"/>
    <w:rsid w:val="00FB52E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BF937"/>
  <w15:chartTrackingRefBased/>
  <w15:docId w15:val="{81A4FCDE-0273-47D6-A6DB-5C097565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5C1"/>
    <w:pPr>
      <w:spacing w:after="0" w:line="240" w:lineRule="auto"/>
    </w:pPr>
    <w:rPr>
      <w:rFonts w:ascii="Times New Roman" w:eastAsia="NSimSun" w:hAnsi="Times New Roman" w:cs="Arial"/>
      <w:kern w:val="2"/>
      <w:sz w:val="24"/>
      <w:szCs w:val="24"/>
      <w:lang w:val="sl-SI"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5C1"/>
    <w:rPr>
      <w:color w:val="0563C1" w:themeColor="hyperlink"/>
      <w:u w:val="single"/>
    </w:rPr>
  </w:style>
  <w:style w:type="paragraph" w:styleId="Header">
    <w:name w:val="header"/>
    <w:basedOn w:val="Normal"/>
    <w:link w:val="HeaderChar"/>
    <w:uiPriority w:val="99"/>
    <w:unhideWhenUsed/>
    <w:rsid w:val="00603E2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603E26"/>
    <w:rPr>
      <w:rFonts w:ascii="Times New Roman" w:eastAsia="NSimSun" w:hAnsi="Times New Roman" w:cs="Mangal"/>
      <w:kern w:val="2"/>
      <w:sz w:val="24"/>
      <w:szCs w:val="21"/>
      <w:lang w:val="sl-SI" w:eastAsia="zh-CN" w:bidi="hi-IN"/>
    </w:rPr>
  </w:style>
  <w:style w:type="paragraph" w:styleId="Footer">
    <w:name w:val="footer"/>
    <w:basedOn w:val="Normal"/>
    <w:link w:val="FooterChar"/>
    <w:uiPriority w:val="99"/>
    <w:unhideWhenUsed/>
    <w:rsid w:val="00603E2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603E26"/>
    <w:rPr>
      <w:rFonts w:ascii="Times New Roman" w:eastAsia="NSimSun" w:hAnsi="Times New Roman" w:cs="Mangal"/>
      <w:kern w:val="2"/>
      <w:sz w:val="24"/>
      <w:szCs w:val="21"/>
      <w:lang w:val="sl-SI" w:eastAsia="zh-CN" w:bidi="hi-IN"/>
    </w:rPr>
  </w:style>
  <w:style w:type="character" w:styleId="UnresolvedMention">
    <w:name w:val="Unresolved Mention"/>
    <w:basedOn w:val="DefaultParagraphFont"/>
    <w:uiPriority w:val="99"/>
    <w:semiHidden/>
    <w:unhideWhenUsed/>
    <w:rsid w:val="00065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conference.playwithheart.eu/" TargetMode="External"/><Relationship Id="rId26" Type="http://schemas.openxmlformats.org/officeDocument/2006/relationships/hyperlink" Target="https://eur-lex.europa.eu/legal-content/SL/TXT/HTML/?uri=CELEX:52022XC0805(01)&amp;from=EN" TargetMode="Externa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https://competition-policy.ec.europa.eu/public-consultations/2022-guarantee-notice_sl" TargetMode="External"/><Relationship Id="rId12" Type="http://schemas.openxmlformats.org/officeDocument/2006/relationships/hyperlink" Target="https://food.ec.europa.eu/safety/chemical-safety/food-contact-materials/plastic-recycling_sl" TargetMode="Externa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hyperlink" Target="https://www.europarl.europa.eu/doceo/document/TA-9-2022-0316_SL.html" TargetMode="External"/><Relationship Id="rId20" Type="http://schemas.openxmlformats.org/officeDocument/2006/relationships/hyperlink" Target="https://ec.europa.eu/info/law/better-regulation/have-your-say/initiatives/13316-Revizija-carinskega-zakonika-Unije_s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ec.europa.eu/competition/elojade/isef/case_details.cfm?proc_code=3_SA_103664" TargetMode="Externa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hyperlink" Target="https://ec.europa.eu/transparency/documents-register/detail?ref=COM(2022)434&amp;lang=sl" TargetMode="Externa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hyperlink" Target="https://ec.europa.eu/transparency/documents-register/detail?ref=COM(2022)433&amp;lang=sl" TargetMode="External"/><Relationship Id="rId14" Type="http://schemas.openxmlformats.org/officeDocument/2006/relationships/hyperlink" Target="https://single-market-economy.ec.europa.eu/document/785da6ff-abe3-43f7-a693-1185c96e930e_sl" TargetMode="External"/><Relationship Id="rId22" Type="http://schemas.openxmlformats.org/officeDocument/2006/relationships/hyperlink" Target="https://digital-strategy.ec.europa.eu/sl/node/9773" TargetMode="External"/><Relationship Id="rId27" Type="http://schemas.openxmlformats.org/officeDocument/2006/relationships/hyperlink" Target="https://eur-lex.europa.eu/legal-content/sl/TXT/PDF/?uri=CELEX:32020R0741&amp;from=EN"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Sinkovec</dc:creator>
  <cp:keywords/>
  <dc:description/>
  <cp:lastModifiedBy>Bostjan Sinkovec</cp:lastModifiedBy>
  <cp:revision>21</cp:revision>
  <dcterms:created xsi:type="dcterms:W3CDTF">2022-09-28T11:21:00Z</dcterms:created>
  <dcterms:modified xsi:type="dcterms:W3CDTF">2022-10-03T12:11:00Z</dcterms:modified>
</cp:coreProperties>
</file>