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F39D7" w14:textId="77777777" w:rsidR="00742766" w:rsidRPr="00742766" w:rsidRDefault="00742766" w:rsidP="00742766">
      <w:pPr>
        <w:pStyle w:val="Heading3"/>
        <w:jc w:val="both"/>
        <w:rPr>
          <w:rFonts w:asciiTheme="minorHAnsi" w:hAnsiTheme="minorHAnsi" w:cstheme="minorHAnsi"/>
          <w:sz w:val="32"/>
          <w:szCs w:val="32"/>
        </w:rPr>
      </w:pPr>
      <w:r w:rsidRPr="00742766">
        <w:rPr>
          <w:rStyle w:val="Strong"/>
          <w:rFonts w:asciiTheme="minorHAnsi" w:hAnsiTheme="minorHAnsi" w:cstheme="minorHAnsi"/>
          <w:b/>
          <w:bCs/>
          <w:color w:val="000080"/>
          <w:sz w:val="32"/>
          <w:szCs w:val="32"/>
        </w:rPr>
        <w:t>Predlogi Evropske komisije za povečanje trgovine med EU in sosednjimi državami</w:t>
      </w:r>
    </w:p>
    <w:p w14:paraId="1A021DD4" w14:textId="14E821FE" w:rsidR="001E0747" w:rsidRDefault="00742766" w:rsidP="00742766">
      <w:pPr>
        <w:rPr>
          <w:rStyle w:val="Strong"/>
          <w:rFonts w:eastAsia="Times New Roman" w:cstheme="minorHAnsi"/>
          <w:color w:val="606060"/>
        </w:rPr>
      </w:pPr>
      <w:r w:rsidRPr="00742766">
        <w:rPr>
          <w:rFonts w:eastAsia="Times New Roman" w:cstheme="minorHAnsi"/>
          <w:b/>
          <w:bCs/>
          <w:noProof/>
          <w:color w:val="606060"/>
        </w:rPr>
        <w:drawing>
          <wp:inline distT="0" distB="0" distL="0" distR="0" wp14:anchorId="67513A87" wp14:editId="479C017D">
            <wp:extent cx="2540000" cy="1022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sidRPr="00742766">
        <w:rPr>
          <w:rFonts w:eastAsia="Times New Roman" w:cstheme="minorHAnsi"/>
          <w:b/>
          <w:bCs/>
          <w:color w:val="606060"/>
        </w:rPr>
        <w:br/>
      </w:r>
      <w:r w:rsidRPr="00742766">
        <w:rPr>
          <w:rStyle w:val="Strong"/>
          <w:rFonts w:eastAsia="Times New Roman" w:cstheme="minorHAnsi"/>
          <w:color w:val="606060"/>
        </w:rPr>
        <w:t>Evropska komisija je sprejela sveženj predlogov za povečanje trgovine med Evropsko unijo in sosednjimi državami, med katere sodijo tudi države Zahodnega Balkana. Komisija se je odločila za posodobitev preferencialnih trgovinskih sporazumov, da bi »pravila o poreklu« v teh sporazumih postala prožnejša in prijaznejša podjetjem. Odločila se je za spremembo dvostranskih sporazumov EU z Islandijo, Lihtenštajnom, Norveško, Švico, Ferskimi otoki, Turčijo, Egiptom, Izraelom, Jordanijo, Libanonom, Palestin</w:t>
      </w:r>
      <w:bookmarkStart w:id="0" w:name="_ftnref1"/>
      <w:bookmarkEnd w:id="0"/>
      <w:r w:rsidRPr="00742766">
        <w:rPr>
          <w:rStyle w:val="Strong"/>
          <w:rFonts w:eastAsia="Times New Roman" w:cstheme="minorHAnsi"/>
          <w:color w:val="606060"/>
        </w:rPr>
        <w:t>o, Gruzijo, Moldavijo, Ukrajino, Albanijo, Bosno in Hercegovino, Makedonijo, Črno goro, Srbijo in Kosovom.</w:t>
      </w:r>
      <w:r w:rsidRPr="00742766">
        <w:rPr>
          <w:rFonts w:eastAsia="Times New Roman" w:cstheme="minorHAnsi"/>
          <w:b/>
          <w:bCs/>
          <w:color w:val="606060"/>
        </w:rPr>
        <w:br/>
      </w:r>
      <w:r w:rsidRPr="00742766">
        <w:rPr>
          <w:rStyle w:val="Strong"/>
          <w:rFonts w:eastAsia="Times New Roman" w:cstheme="minorHAnsi"/>
          <w:color w:val="606060"/>
        </w:rPr>
        <w:t> </w:t>
      </w:r>
      <w:r w:rsidRPr="00742766">
        <w:rPr>
          <w:rFonts w:eastAsia="Times New Roman" w:cstheme="minorHAnsi"/>
          <w:b/>
          <w:bCs/>
          <w:color w:val="606060"/>
        </w:rPr>
        <w:br/>
      </w:r>
      <w:r w:rsidRPr="00742766">
        <w:rPr>
          <w:rStyle w:val="Strong"/>
          <w:rFonts w:eastAsia="Times New Roman" w:cstheme="minorHAnsi"/>
          <w:color w:val="606060"/>
        </w:rPr>
        <w:t>Več:</w:t>
      </w:r>
      <w:r w:rsidRPr="00742766">
        <w:rPr>
          <w:rFonts w:eastAsia="Times New Roman" w:cstheme="minorHAnsi"/>
          <w:b/>
          <w:bCs/>
          <w:color w:val="606060"/>
        </w:rPr>
        <w:br/>
      </w:r>
      <w:hyperlink r:id="rId7" w:history="1">
        <w:r w:rsidRPr="00742766">
          <w:rPr>
            <w:rStyle w:val="Hyperlink"/>
            <w:rFonts w:cstheme="minorHAnsi"/>
            <w:color w:val="DAA520"/>
          </w:rPr>
          <w:t>Besedilo predlogov Evropske komisije</w:t>
        </w:r>
      </w:hyperlink>
    </w:p>
    <w:p w14:paraId="2147E0D2" w14:textId="5D88AF81" w:rsidR="00742766" w:rsidRDefault="00742766" w:rsidP="00742766">
      <w:pPr>
        <w:rPr>
          <w:rStyle w:val="Strong"/>
          <w:rFonts w:eastAsia="Times New Roman" w:cstheme="minorHAnsi"/>
          <w:color w:val="606060"/>
        </w:rPr>
      </w:pPr>
    </w:p>
    <w:p w14:paraId="631ACE78" w14:textId="00EF1C11" w:rsidR="00742766" w:rsidRPr="00742766" w:rsidRDefault="00742766" w:rsidP="00742766">
      <w:pPr>
        <w:pStyle w:val="Heading3"/>
        <w:jc w:val="both"/>
        <w:rPr>
          <w:rFonts w:asciiTheme="minorHAnsi" w:hAnsiTheme="minorHAnsi" w:cstheme="minorHAnsi"/>
          <w:sz w:val="32"/>
          <w:szCs w:val="32"/>
        </w:rPr>
      </w:pPr>
      <w:r w:rsidRPr="00742766">
        <w:rPr>
          <w:rStyle w:val="Strong"/>
          <w:rFonts w:asciiTheme="minorHAnsi" w:hAnsiTheme="minorHAnsi" w:cstheme="minorHAnsi"/>
          <w:b/>
          <w:bCs/>
          <w:color w:val="000080"/>
          <w:sz w:val="32"/>
          <w:szCs w:val="32"/>
        </w:rPr>
        <w:t xml:space="preserve">Evropska komisija je odobrila slovensko shemo za podporo </w:t>
      </w:r>
      <w:r w:rsidRPr="00742766">
        <w:rPr>
          <w:rStyle w:val="Strong"/>
          <w:rFonts w:asciiTheme="minorHAnsi" w:hAnsiTheme="minorHAnsi" w:cstheme="minorHAnsi"/>
          <w:b/>
          <w:bCs/>
          <w:color w:val="000080"/>
          <w:sz w:val="32"/>
          <w:szCs w:val="32"/>
        </w:rPr>
        <w:t>podjetjem</w:t>
      </w:r>
      <w:r w:rsidRPr="00742766">
        <w:rPr>
          <w:rFonts w:asciiTheme="minorHAnsi" w:hAnsiTheme="minorHAnsi" w:cstheme="minorHAnsi"/>
          <w:sz w:val="32"/>
          <w:szCs w:val="32"/>
        </w:rPr>
        <w:br/>
      </w:r>
      <w:r w:rsidRPr="00742766">
        <w:rPr>
          <w:rFonts w:asciiTheme="minorHAnsi" w:hAnsiTheme="minorHAnsi" w:cstheme="minorHAnsi"/>
          <w:noProof/>
          <w:sz w:val="32"/>
          <w:szCs w:val="32"/>
        </w:rPr>
        <w:drawing>
          <wp:inline distT="0" distB="0" distL="0" distR="0" wp14:anchorId="71F8712D" wp14:editId="01003B49">
            <wp:extent cx="2540000" cy="10223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5FC1D22F" w14:textId="75E4462C" w:rsidR="00742766" w:rsidRDefault="00742766" w:rsidP="00742766">
      <w:pPr>
        <w:rPr>
          <w:rStyle w:val="Strong"/>
          <w:rFonts w:eastAsia="Times New Roman" w:cstheme="minorHAnsi"/>
          <w:color w:val="606060"/>
        </w:rPr>
      </w:pPr>
      <w:r w:rsidRPr="00742766">
        <w:rPr>
          <w:rStyle w:val="Strong"/>
          <w:rFonts w:eastAsia="Times New Roman" w:cstheme="minorHAnsi"/>
          <w:color w:val="606060"/>
        </w:rPr>
        <w:t>Evropska komisija je odobrila 100 milijonov evrov vredno slovensko shemo za podporo podjetjem, ki jih je prizadel izbruh koronavirusa, ter za raziskave, razvoj in proizvodnjo izdelkov v zvezi s koronavirusom.</w:t>
      </w:r>
      <w:r w:rsidRPr="00742766">
        <w:rPr>
          <w:rFonts w:eastAsia="Times New Roman" w:cstheme="minorHAnsi"/>
          <w:b/>
          <w:bCs/>
          <w:color w:val="606060"/>
        </w:rPr>
        <w:br/>
      </w:r>
      <w:r w:rsidRPr="00742766">
        <w:rPr>
          <w:rStyle w:val="Strong"/>
          <w:rFonts w:eastAsia="Times New Roman" w:cstheme="minorHAnsi"/>
          <w:color w:val="606060"/>
        </w:rPr>
        <w:t> </w:t>
      </w:r>
      <w:r w:rsidRPr="00742766">
        <w:rPr>
          <w:rFonts w:eastAsia="Times New Roman" w:cstheme="minorHAnsi"/>
          <w:b/>
          <w:bCs/>
          <w:color w:val="606060"/>
        </w:rPr>
        <w:br/>
      </w:r>
      <w:r w:rsidRPr="00742766">
        <w:rPr>
          <w:rStyle w:val="Strong"/>
          <w:rFonts w:eastAsia="Times New Roman" w:cstheme="minorHAnsi"/>
          <w:color w:val="606060"/>
        </w:rPr>
        <w:t>Več:</w:t>
      </w:r>
      <w:r w:rsidRPr="00742766">
        <w:rPr>
          <w:rFonts w:eastAsia="Times New Roman" w:cstheme="minorHAnsi"/>
          <w:b/>
          <w:bCs/>
          <w:color w:val="606060"/>
        </w:rPr>
        <w:br/>
      </w:r>
      <w:hyperlink r:id="rId9" w:history="1">
        <w:r w:rsidRPr="00742766">
          <w:rPr>
            <w:rStyle w:val="Hyperlink"/>
            <w:rFonts w:eastAsia="Times New Roman" w:cstheme="minorHAnsi"/>
            <w:color w:val="DAA520"/>
          </w:rPr>
          <w:t>Odločitev Evropske komisije</w:t>
        </w:r>
      </w:hyperlink>
    </w:p>
    <w:p w14:paraId="51650344" w14:textId="2B3B1628" w:rsidR="00742766" w:rsidRDefault="00742766" w:rsidP="00742766">
      <w:pPr>
        <w:rPr>
          <w:rStyle w:val="Strong"/>
          <w:rFonts w:eastAsia="Times New Roman" w:cstheme="minorHAnsi"/>
          <w:color w:val="606060"/>
        </w:rPr>
      </w:pPr>
    </w:p>
    <w:p w14:paraId="01830538" w14:textId="4C64B947" w:rsidR="00742766" w:rsidRPr="00742766" w:rsidRDefault="00742766" w:rsidP="00742766">
      <w:pPr>
        <w:pStyle w:val="Heading3"/>
        <w:rPr>
          <w:rFonts w:asciiTheme="minorHAnsi" w:hAnsiTheme="minorHAnsi" w:cstheme="minorHAnsi"/>
          <w:sz w:val="22"/>
          <w:szCs w:val="22"/>
        </w:rPr>
      </w:pPr>
      <w:r w:rsidRPr="00EB06DE">
        <w:rPr>
          <w:rStyle w:val="Strong"/>
          <w:rFonts w:asciiTheme="minorHAnsi" w:hAnsiTheme="minorHAnsi" w:cstheme="minorHAnsi"/>
          <w:b/>
          <w:bCs/>
          <w:color w:val="000080"/>
          <w:sz w:val="32"/>
          <w:szCs w:val="32"/>
        </w:rPr>
        <w:t>Pomoč za zagonska in inovativna podjetja, ki jih je prizadela kriza Covid-19</w:t>
      </w:r>
      <w:r w:rsidRPr="00742766">
        <w:rPr>
          <w:rFonts w:asciiTheme="minorHAnsi" w:hAnsiTheme="minorHAnsi" w:cstheme="minorHAnsi"/>
          <w:sz w:val="22"/>
          <w:szCs w:val="22"/>
        </w:rPr>
        <w:br/>
      </w:r>
      <w:r w:rsidRPr="00742766">
        <w:rPr>
          <w:rFonts w:asciiTheme="minorHAnsi" w:hAnsiTheme="minorHAnsi" w:cstheme="minorHAnsi"/>
          <w:noProof/>
          <w:sz w:val="22"/>
          <w:szCs w:val="22"/>
        </w:rPr>
        <w:drawing>
          <wp:inline distT="0" distB="0" distL="0" distR="0" wp14:anchorId="39C624EA" wp14:editId="3B1FC210">
            <wp:extent cx="2540000" cy="10223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14CDB6D4" w14:textId="19F5CB02" w:rsidR="00742766" w:rsidRDefault="00742766" w:rsidP="00742766">
      <w:pPr>
        <w:rPr>
          <w:rStyle w:val="Strong"/>
          <w:rFonts w:eastAsia="Times New Roman" w:cstheme="minorHAnsi"/>
          <w:color w:val="606060"/>
        </w:rPr>
      </w:pPr>
      <w:r w:rsidRPr="00742766">
        <w:rPr>
          <w:rStyle w:val="Strong"/>
          <w:rFonts w:eastAsia="Times New Roman" w:cstheme="minorHAnsi"/>
          <w:color w:val="606060"/>
        </w:rPr>
        <w:t xml:space="preserve">Evropska komisija in Evropski investicijski sklad (EIF) sta oblikovala ukrepe za spodbujanje zagonskih in inovativnih podjetij, ki jih je prizadela kriza zaradi izbruha koronavirusa. Ukrepi se bodo izvajali v okviru programa Obzorje 2020, konkretneje </w:t>
      </w:r>
      <w:r w:rsidRPr="00742766">
        <w:rPr>
          <w:rStyle w:val="Strong"/>
          <w:rFonts w:eastAsia="Times New Roman" w:cstheme="minorHAnsi"/>
          <w:color w:val="606060"/>
        </w:rPr>
        <w:lastRenderedPageBreak/>
        <w:t>v okviru instrumenta InnovFin Equity Facility. Namenjeni so zagotavljanju likvidnosti in krepitvi lastniškega kapitala v srednjih in malih podjetjih. Upravljalci skladov, ki se osredotočajo na zagotavljanje zagonskega kapitala podjetjem, lahko računajo tudi na 100 milijonov evrov dodatnih sredstev. Člani lahko dobijo več informacij na SBRA.</w:t>
      </w:r>
      <w:r w:rsidRPr="00742766">
        <w:rPr>
          <w:rFonts w:eastAsia="Times New Roman" w:cstheme="minorHAnsi"/>
          <w:b/>
          <w:bCs/>
          <w:color w:val="606060"/>
        </w:rPr>
        <w:br/>
      </w:r>
      <w:r w:rsidRPr="00742766">
        <w:rPr>
          <w:rStyle w:val="Strong"/>
          <w:rFonts w:eastAsia="Times New Roman" w:cstheme="minorHAnsi"/>
          <w:color w:val="606060"/>
        </w:rPr>
        <w:t> </w:t>
      </w:r>
      <w:r w:rsidRPr="00742766">
        <w:rPr>
          <w:rFonts w:eastAsia="Times New Roman" w:cstheme="minorHAnsi"/>
          <w:b/>
          <w:bCs/>
          <w:color w:val="606060"/>
        </w:rPr>
        <w:br/>
      </w:r>
      <w:r w:rsidRPr="00742766">
        <w:rPr>
          <w:rStyle w:val="Strong"/>
          <w:rFonts w:eastAsia="Times New Roman" w:cstheme="minorHAnsi"/>
          <w:color w:val="606060"/>
        </w:rPr>
        <w:t>Več:</w:t>
      </w:r>
      <w:r w:rsidRPr="00742766">
        <w:rPr>
          <w:rFonts w:eastAsia="Times New Roman" w:cstheme="minorHAnsi"/>
          <w:b/>
          <w:bCs/>
          <w:color w:val="606060"/>
        </w:rPr>
        <w:br/>
      </w:r>
      <w:hyperlink r:id="rId11" w:history="1">
        <w:r w:rsidRPr="00742766">
          <w:rPr>
            <w:rStyle w:val="Hyperlink"/>
            <w:rFonts w:eastAsia="Times New Roman" w:cstheme="minorHAnsi"/>
            <w:color w:val="DAA520"/>
          </w:rPr>
          <w:t>Spletna stran z informacijami o ukrepih</w:t>
        </w:r>
      </w:hyperlink>
    </w:p>
    <w:p w14:paraId="0579C4AD" w14:textId="2B7AD620" w:rsidR="00742766" w:rsidRDefault="00742766" w:rsidP="00742766">
      <w:pPr>
        <w:rPr>
          <w:rStyle w:val="Strong"/>
          <w:rFonts w:eastAsia="Times New Roman" w:cstheme="minorHAnsi"/>
          <w:color w:val="606060"/>
        </w:rPr>
      </w:pPr>
    </w:p>
    <w:p w14:paraId="3BC5F0AC" w14:textId="2708191E" w:rsidR="00EB06DE" w:rsidRPr="00EB06DE" w:rsidRDefault="00EB06DE" w:rsidP="00EB06DE">
      <w:pPr>
        <w:pStyle w:val="Heading3"/>
        <w:rPr>
          <w:rFonts w:asciiTheme="minorHAnsi" w:hAnsiTheme="minorHAnsi" w:cstheme="minorHAnsi"/>
          <w:sz w:val="22"/>
          <w:szCs w:val="22"/>
        </w:rPr>
      </w:pPr>
      <w:r w:rsidRPr="00EB06DE">
        <w:rPr>
          <w:rStyle w:val="Strong"/>
          <w:rFonts w:asciiTheme="minorHAnsi" w:hAnsiTheme="minorHAnsi" w:cstheme="minorHAnsi"/>
          <w:b/>
          <w:bCs/>
          <w:color w:val="000080"/>
          <w:sz w:val="32"/>
          <w:szCs w:val="32"/>
        </w:rPr>
        <w:t>V veljavo je stopil trgovinski sporazum med EU in Vietnamom</w:t>
      </w:r>
    </w:p>
    <w:p w14:paraId="227542B9" w14:textId="7CB86857" w:rsidR="00742766" w:rsidRDefault="00EB06DE" w:rsidP="00EB06DE">
      <w:pPr>
        <w:rPr>
          <w:rStyle w:val="Strong"/>
          <w:rFonts w:eastAsia="Times New Roman" w:cstheme="minorHAnsi"/>
          <w:color w:val="606060"/>
        </w:rPr>
      </w:pPr>
      <w:r w:rsidRPr="00EB06DE">
        <w:rPr>
          <w:rFonts w:eastAsia="Times New Roman" w:cstheme="minorHAnsi"/>
          <w:noProof/>
          <w:color w:val="606060"/>
        </w:rPr>
        <w:drawing>
          <wp:inline distT="0" distB="0" distL="0" distR="0" wp14:anchorId="15716F42" wp14:editId="789B4589">
            <wp:extent cx="2540000" cy="10223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sidRPr="00EB06DE">
        <w:rPr>
          <w:rFonts w:eastAsia="Times New Roman" w:cstheme="minorHAnsi"/>
          <w:color w:val="606060"/>
        </w:rPr>
        <w:br/>
      </w:r>
      <w:r w:rsidRPr="00EB06DE">
        <w:rPr>
          <w:rStyle w:val="Strong"/>
          <w:rFonts w:eastAsia="Times New Roman" w:cstheme="minorHAnsi"/>
          <w:color w:val="606060"/>
        </w:rPr>
        <w:t>S 1. avgustom je stopil v veljavo trgovinski sporazum med EU in Vietnamom, ki odpravlja 99 odstotkov carinskih dajatev na blago, s katerim pogodbenici med seboj trgujeta.</w:t>
      </w:r>
      <w:r w:rsidRPr="00EB06DE">
        <w:rPr>
          <w:rFonts w:eastAsia="Times New Roman" w:cstheme="minorHAnsi"/>
          <w:b/>
          <w:bCs/>
          <w:color w:val="606060"/>
        </w:rPr>
        <w:br/>
      </w:r>
      <w:r w:rsidRPr="00EB06DE">
        <w:rPr>
          <w:rStyle w:val="Strong"/>
          <w:rFonts w:eastAsia="Times New Roman" w:cstheme="minorHAnsi"/>
          <w:color w:val="606060"/>
        </w:rPr>
        <w:t> </w:t>
      </w:r>
      <w:r w:rsidRPr="00EB06DE">
        <w:rPr>
          <w:rFonts w:eastAsia="Times New Roman" w:cstheme="minorHAnsi"/>
          <w:b/>
          <w:bCs/>
          <w:color w:val="606060"/>
        </w:rPr>
        <w:br/>
      </w:r>
      <w:r w:rsidRPr="00EB06DE">
        <w:rPr>
          <w:rStyle w:val="Strong"/>
          <w:rFonts w:eastAsia="Times New Roman" w:cstheme="minorHAnsi"/>
          <w:color w:val="606060"/>
        </w:rPr>
        <w:t>Več:</w:t>
      </w:r>
      <w:r w:rsidRPr="00EB06DE">
        <w:rPr>
          <w:rFonts w:eastAsia="Times New Roman" w:cstheme="minorHAnsi"/>
          <w:b/>
          <w:bCs/>
          <w:color w:val="606060"/>
        </w:rPr>
        <w:br/>
      </w:r>
      <w:hyperlink r:id="rId13" w:history="1">
        <w:r w:rsidRPr="00EB06DE">
          <w:rPr>
            <w:rStyle w:val="Hyperlink"/>
            <w:rFonts w:eastAsia="Times New Roman" w:cstheme="minorHAnsi"/>
            <w:color w:val="DAA520"/>
          </w:rPr>
          <w:t>Posebna spletna stran o trgovinskem sporazumu med EU in Vietnamom</w:t>
        </w:r>
      </w:hyperlink>
    </w:p>
    <w:p w14:paraId="4987C6A5" w14:textId="78DC774A" w:rsidR="00EB06DE" w:rsidRDefault="00EB06DE" w:rsidP="00EB06DE">
      <w:pPr>
        <w:rPr>
          <w:rStyle w:val="Strong"/>
          <w:rFonts w:eastAsia="Times New Roman" w:cstheme="minorHAnsi"/>
          <w:color w:val="606060"/>
        </w:rPr>
      </w:pPr>
    </w:p>
    <w:p w14:paraId="0EF6B4D9" w14:textId="1D001A1E" w:rsidR="003F67D7" w:rsidRPr="003F67D7" w:rsidRDefault="003F67D7" w:rsidP="003F67D7">
      <w:pPr>
        <w:pStyle w:val="Heading3"/>
        <w:rPr>
          <w:rFonts w:asciiTheme="minorHAnsi" w:hAnsiTheme="minorHAnsi" w:cstheme="minorHAnsi"/>
          <w:sz w:val="32"/>
          <w:szCs w:val="32"/>
        </w:rPr>
      </w:pPr>
      <w:r w:rsidRPr="003F67D7">
        <w:rPr>
          <w:rStyle w:val="Strong"/>
          <w:rFonts w:asciiTheme="minorHAnsi" w:hAnsiTheme="minorHAnsi" w:cstheme="minorHAnsi"/>
          <w:b/>
          <w:bCs/>
          <w:color w:val="000080"/>
          <w:sz w:val="32"/>
          <w:szCs w:val="32"/>
        </w:rPr>
        <w:t>EU je razširila protidampinške dajatve na izdelke iz kitajskega nerjavnega jekla</w:t>
      </w:r>
      <w:r w:rsidRPr="003F67D7">
        <w:rPr>
          <w:rFonts w:asciiTheme="minorHAnsi" w:hAnsiTheme="minorHAnsi" w:cstheme="minorHAnsi"/>
          <w:sz w:val="32"/>
          <w:szCs w:val="32"/>
        </w:rPr>
        <w:br/>
      </w:r>
      <w:r w:rsidRPr="003F67D7">
        <w:rPr>
          <w:rFonts w:asciiTheme="minorHAnsi" w:hAnsiTheme="minorHAnsi" w:cstheme="minorHAnsi"/>
          <w:noProof/>
          <w:sz w:val="32"/>
          <w:szCs w:val="32"/>
        </w:rPr>
        <w:drawing>
          <wp:inline distT="0" distB="0" distL="0" distR="0" wp14:anchorId="661356D2" wp14:editId="30252B6F">
            <wp:extent cx="2540000" cy="10223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3CD9396F" w14:textId="2CE54EA7" w:rsidR="00EB06DE" w:rsidRDefault="003F67D7" w:rsidP="003F67D7">
      <w:pPr>
        <w:rPr>
          <w:rStyle w:val="Strong"/>
          <w:rFonts w:eastAsia="Times New Roman" w:cstheme="minorHAnsi"/>
          <w:color w:val="606060"/>
        </w:rPr>
      </w:pPr>
      <w:r w:rsidRPr="003F67D7">
        <w:rPr>
          <w:rStyle w:val="Strong"/>
          <w:rFonts w:eastAsia="Times New Roman" w:cstheme="minorHAnsi"/>
          <w:color w:val="606060"/>
        </w:rPr>
        <w:t>Evropska komisija je razširila protidampinške dajatve na še več uvoženih izdelkov iz kitajskega nerjavnega jekla. Ukrepi veljaqjo za vse kitajske izvoznike, razen enega podjetja, ki je v preiskavi sodelovalo.</w:t>
      </w:r>
      <w:r w:rsidRPr="003F67D7">
        <w:rPr>
          <w:rFonts w:eastAsia="Times New Roman" w:cstheme="minorHAnsi"/>
          <w:b/>
          <w:bCs/>
          <w:color w:val="606060"/>
        </w:rPr>
        <w:br/>
      </w:r>
      <w:r w:rsidRPr="003F67D7">
        <w:rPr>
          <w:rStyle w:val="Strong"/>
          <w:rFonts w:eastAsia="Times New Roman" w:cstheme="minorHAnsi"/>
          <w:color w:val="606060"/>
        </w:rPr>
        <w:t> </w:t>
      </w:r>
      <w:r w:rsidRPr="003F67D7">
        <w:rPr>
          <w:rFonts w:eastAsia="Times New Roman" w:cstheme="minorHAnsi"/>
          <w:b/>
          <w:bCs/>
          <w:color w:val="606060"/>
        </w:rPr>
        <w:br/>
      </w:r>
      <w:r w:rsidRPr="003F67D7">
        <w:rPr>
          <w:rStyle w:val="Strong"/>
          <w:rFonts w:eastAsia="Times New Roman" w:cstheme="minorHAnsi"/>
          <w:color w:val="606060"/>
        </w:rPr>
        <w:t>Več:</w:t>
      </w:r>
      <w:r w:rsidRPr="003F67D7">
        <w:rPr>
          <w:rFonts w:eastAsia="Times New Roman" w:cstheme="minorHAnsi"/>
          <w:b/>
          <w:bCs/>
          <w:color w:val="606060"/>
        </w:rPr>
        <w:br/>
      </w:r>
      <w:hyperlink r:id="rId15" w:history="1">
        <w:r w:rsidRPr="003F67D7">
          <w:rPr>
            <w:rStyle w:val="Hyperlink"/>
            <w:rFonts w:eastAsia="Times New Roman" w:cstheme="minorHAnsi"/>
            <w:color w:val="DAA520"/>
          </w:rPr>
          <w:t>Izvedbena uredba</w:t>
        </w:r>
      </w:hyperlink>
    </w:p>
    <w:p w14:paraId="7407292B" w14:textId="51C341EB" w:rsidR="003F67D7" w:rsidRDefault="003F67D7" w:rsidP="003F67D7">
      <w:pPr>
        <w:rPr>
          <w:rStyle w:val="Strong"/>
          <w:rFonts w:eastAsia="Times New Roman" w:cstheme="minorHAnsi"/>
          <w:color w:val="606060"/>
        </w:rPr>
      </w:pPr>
    </w:p>
    <w:p w14:paraId="2E38ABAA" w14:textId="5BD7FB4E" w:rsidR="00BB411B" w:rsidRPr="00BB411B" w:rsidRDefault="00BB411B" w:rsidP="00BB411B">
      <w:pPr>
        <w:pStyle w:val="Heading3"/>
        <w:rPr>
          <w:rFonts w:asciiTheme="minorHAnsi" w:hAnsiTheme="minorHAnsi" w:cstheme="minorHAnsi"/>
          <w:sz w:val="32"/>
          <w:szCs w:val="32"/>
        </w:rPr>
      </w:pPr>
      <w:r w:rsidRPr="00BB411B">
        <w:rPr>
          <w:rStyle w:val="Strong"/>
          <w:rFonts w:asciiTheme="minorHAnsi" w:hAnsiTheme="minorHAnsi" w:cstheme="minorHAnsi"/>
          <w:b/>
          <w:bCs/>
          <w:color w:val="000080"/>
          <w:sz w:val="32"/>
          <w:szCs w:val="32"/>
        </w:rPr>
        <w:t>Sloveniji 1,1 milijarde evrov iz instrumenta SURE</w:t>
      </w:r>
    </w:p>
    <w:p w14:paraId="4AC4B268" w14:textId="07D0B3B5" w:rsidR="003F67D7" w:rsidRDefault="00BB411B" w:rsidP="00BB411B">
      <w:pPr>
        <w:rPr>
          <w:rStyle w:val="Strong"/>
          <w:rFonts w:eastAsia="Times New Roman" w:cstheme="minorHAnsi"/>
          <w:color w:val="606060"/>
        </w:rPr>
      </w:pPr>
      <w:r w:rsidRPr="00BB411B">
        <w:rPr>
          <w:rFonts w:eastAsia="Times New Roman" w:cstheme="minorHAnsi"/>
          <w:b/>
          <w:bCs/>
          <w:noProof/>
          <w:color w:val="606060"/>
        </w:rPr>
        <w:drawing>
          <wp:inline distT="0" distB="0" distL="0" distR="0" wp14:anchorId="6B5EC857" wp14:editId="220500D9">
            <wp:extent cx="2540000" cy="10223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sidRPr="00BB411B">
        <w:rPr>
          <w:rFonts w:eastAsia="Times New Roman" w:cstheme="minorHAnsi"/>
          <w:b/>
          <w:bCs/>
          <w:color w:val="606060"/>
        </w:rPr>
        <w:br/>
      </w:r>
      <w:r w:rsidRPr="00BB411B">
        <w:rPr>
          <w:rStyle w:val="Strong"/>
          <w:rFonts w:eastAsia="Times New Roman" w:cstheme="minorHAnsi"/>
          <w:color w:val="606060"/>
        </w:rPr>
        <w:t>Evropska komisija je Svetu EU, ki med evropskimi institucijami predstavlja države članice, predložila predloge sklepov za dodelitev finančne podpore v višini 81,4 milijarde evrov za 15 držav članic v okviru instrumenta SURE. Med 15 članicami je tudi Slovenija, za katero predlaga finančno podporo v višini 1,1 milijarde evrov. Ko bo Svet te predloge odobril, bo finančna podpora zagotovljena v obliki posojil, ki jih bo EU državam članicam odobrila pod ugodnimi pogoji. Ta posojila bodo na voljo za ohranjanje delovnih mest, zlasti za kritje stroškov, ki so neposredno povezani s financiranjem nacionalnih ureditev skrajšanega delovnega časa in drugimi podobnimi ukrepi.</w:t>
      </w:r>
      <w:r w:rsidRPr="00BB411B">
        <w:rPr>
          <w:rFonts w:eastAsia="Times New Roman" w:cstheme="minorHAnsi"/>
          <w:b/>
          <w:bCs/>
          <w:color w:val="606060"/>
        </w:rPr>
        <w:br/>
      </w:r>
      <w:r w:rsidRPr="00BB411B">
        <w:rPr>
          <w:rStyle w:val="Strong"/>
          <w:rFonts w:eastAsia="Times New Roman" w:cstheme="minorHAnsi"/>
          <w:color w:val="606060"/>
        </w:rPr>
        <w:t> </w:t>
      </w:r>
      <w:r w:rsidRPr="00BB411B">
        <w:rPr>
          <w:rFonts w:eastAsia="Times New Roman" w:cstheme="minorHAnsi"/>
          <w:b/>
          <w:bCs/>
          <w:color w:val="606060"/>
        </w:rPr>
        <w:br/>
      </w:r>
      <w:r w:rsidRPr="00BB411B">
        <w:rPr>
          <w:rStyle w:val="Strong"/>
          <w:rFonts w:eastAsia="Times New Roman" w:cstheme="minorHAnsi"/>
          <w:color w:val="606060"/>
        </w:rPr>
        <w:t>Več:</w:t>
      </w:r>
      <w:r w:rsidRPr="00BB411B">
        <w:rPr>
          <w:rFonts w:eastAsia="Times New Roman" w:cstheme="minorHAnsi"/>
          <w:b/>
          <w:bCs/>
          <w:color w:val="606060"/>
        </w:rPr>
        <w:br/>
      </w:r>
      <w:hyperlink r:id="rId17" w:history="1">
        <w:r w:rsidRPr="00BB411B">
          <w:rPr>
            <w:rStyle w:val="Hyperlink"/>
            <w:rFonts w:eastAsia="Times New Roman" w:cstheme="minorHAnsi"/>
            <w:color w:val="DAA520"/>
          </w:rPr>
          <w:t>Predlog Evropske komisije</w:t>
        </w:r>
      </w:hyperlink>
      <w:r w:rsidRPr="00BB411B">
        <w:rPr>
          <w:rFonts w:eastAsia="Times New Roman" w:cstheme="minorHAnsi"/>
          <w:b/>
          <w:bCs/>
          <w:color w:val="606060"/>
        </w:rPr>
        <w:br/>
      </w:r>
      <w:r w:rsidRPr="00BB411B">
        <w:rPr>
          <w:rStyle w:val="Strong"/>
          <w:rFonts w:eastAsia="Times New Roman" w:cstheme="minorHAnsi"/>
          <w:color w:val="606060"/>
        </w:rPr>
        <w:t>in</w:t>
      </w:r>
      <w:r w:rsidRPr="00BB411B">
        <w:rPr>
          <w:rFonts w:eastAsia="Times New Roman" w:cstheme="minorHAnsi"/>
          <w:b/>
          <w:bCs/>
          <w:color w:val="606060"/>
        </w:rPr>
        <w:br/>
      </w:r>
      <w:hyperlink r:id="rId18" w:history="1">
        <w:r w:rsidRPr="00BB411B">
          <w:rPr>
            <w:rStyle w:val="Hyperlink"/>
            <w:rFonts w:eastAsia="Times New Roman" w:cstheme="minorHAnsi"/>
            <w:color w:val="DAA520"/>
          </w:rPr>
          <w:t>Uredba o instrumentu SURE</w:t>
        </w:r>
      </w:hyperlink>
    </w:p>
    <w:p w14:paraId="6C8AEE75" w14:textId="28EAF830" w:rsidR="00BB411B" w:rsidRDefault="00BB411B" w:rsidP="00BB411B">
      <w:pPr>
        <w:rPr>
          <w:rStyle w:val="Strong"/>
          <w:rFonts w:eastAsia="Times New Roman" w:cstheme="minorHAnsi"/>
          <w:color w:val="606060"/>
        </w:rPr>
      </w:pPr>
    </w:p>
    <w:p w14:paraId="1B61A2D1" w14:textId="0BEACEA5" w:rsidR="00BB411B" w:rsidRPr="00BB411B" w:rsidRDefault="00BB411B" w:rsidP="00BB411B">
      <w:pPr>
        <w:pStyle w:val="Heading3"/>
        <w:rPr>
          <w:rFonts w:asciiTheme="minorHAnsi" w:hAnsiTheme="minorHAnsi" w:cstheme="minorHAnsi"/>
          <w:sz w:val="32"/>
          <w:szCs w:val="32"/>
        </w:rPr>
      </w:pPr>
      <w:r w:rsidRPr="00BB411B">
        <w:rPr>
          <w:rStyle w:val="Strong"/>
          <w:rFonts w:asciiTheme="minorHAnsi" w:hAnsiTheme="minorHAnsi" w:cstheme="minorHAnsi"/>
          <w:b/>
          <w:bCs/>
          <w:color w:val="000080"/>
          <w:sz w:val="32"/>
          <w:szCs w:val="32"/>
        </w:rPr>
        <w:t xml:space="preserve">V uporabi so nova pravila o odobritvi in tržnem nadzoru </w:t>
      </w:r>
      <w:r w:rsidRPr="00BB411B">
        <w:rPr>
          <w:rStyle w:val="Strong"/>
          <w:rFonts w:asciiTheme="minorHAnsi" w:hAnsiTheme="minorHAnsi" w:cstheme="minorHAnsi"/>
          <w:b/>
          <w:bCs/>
          <w:color w:val="000080"/>
          <w:sz w:val="32"/>
          <w:szCs w:val="32"/>
        </w:rPr>
        <w:lastRenderedPageBreak/>
        <w:t>motornih vozil</w:t>
      </w:r>
      <w:r w:rsidRPr="00BB411B">
        <w:rPr>
          <w:rFonts w:asciiTheme="minorHAnsi" w:hAnsiTheme="minorHAnsi" w:cstheme="minorHAnsi"/>
          <w:sz w:val="32"/>
          <w:szCs w:val="32"/>
        </w:rPr>
        <w:br/>
      </w:r>
      <w:r w:rsidRPr="00BB411B">
        <w:rPr>
          <w:rFonts w:asciiTheme="minorHAnsi" w:hAnsiTheme="minorHAnsi" w:cstheme="minorHAnsi"/>
          <w:noProof/>
          <w:sz w:val="32"/>
          <w:szCs w:val="32"/>
        </w:rPr>
        <w:drawing>
          <wp:inline distT="0" distB="0" distL="0" distR="0" wp14:anchorId="077129EA" wp14:editId="41198AB3">
            <wp:extent cx="2540000" cy="10223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594022AD" w14:textId="55B24B4D" w:rsidR="00BB411B" w:rsidRDefault="00BB411B" w:rsidP="00BB411B">
      <w:pPr>
        <w:rPr>
          <w:rStyle w:val="Strong"/>
          <w:rFonts w:eastAsia="Times New Roman" w:cstheme="minorHAnsi"/>
          <w:color w:val="606060"/>
        </w:rPr>
      </w:pPr>
      <w:r w:rsidRPr="00BB411B">
        <w:rPr>
          <w:rStyle w:val="Strong"/>
          <w:rFonts w:eastAsia="Times New Roman" w:cstheme="minorHAnsi"/>
          <w:color w:val="606060"/>
        </w:rPr>
        <w:t>S 1. septembrom se je začela uporabljati uredba EU o odobritvi in tržnem nadzoru motornih vozil, s katero se spreminja in zaostruje dosedanji sistem homologacije in tržnega nadzora.</w:t>
      </w:r>
      <w:r w:rsidRPr="00BB411B">
        <w:rPr>
          <w:rFonts w:eastAsia="Times New Roman" w:cstheme="minorHAnsi"/>
          <w:b/>
          <w:bCs/>
          <w:color w:val="606060"/>
        </w:rPr>
        <w:br/>
      </w:r>
      <w:r w:rsidRPr="00BB411B">
        <w:rPr>
          <w:rStyle w:val="Strong"/>
          <w:rFonts w:eastAsia="Times New Roman" w:cstheme="minorHAnsi"/>
          <w:color w:val="606060"/>
        </w:rPr>
        <w:t> </w:t>
      </w:r>
      <w:r w:rsidRPr="00BB411B">
        <w:rPr>
          <w:rFonts w:eastAsia="Times New Roman" w:cstheme="minorHAnsi"/>
          <w:b/>
          <w:bCs/>
          <w:color w:val="606060"/>
        </w:rPr>
        <w:br/>
      </w:r>
      <w:r w:rsidRPr="00BB411B">
        <w:rPr>
          <w:rStyle w:val="Strong"/>
          <w:rFonts w:eastAsia="Times New Roman" w:cstheme="minorHAnsi"/>
          <w:color w:val="606060"/>
        </w:rPr>
        <w:t>Več:</w:t>
      </w:r>
      <w:r w:rsidRPr="00BB411B">
        <w:rPr>
          <w:rFonts w:eastAsia="Times New Roman" w:cstheme="minorHAnsi"/>
          <w:b/>
          <w:bCs/>
          <w:color w:val="606060"/>
        </w:rPr>
        <w:br/>
      </w:r>
      <w:hyperlink r:id="rId20" w:history="1">
        <w:r w:rsidRPr="00BB411B">
          <w:rPr>
            <w:rStyle w:val="Hyperlink"/>
            <w:rFonts w:eastAsia="Times New Roman" w:cstheme="minorHAnsi"/>
            <w:color w:val="DAA520"/>
          </w:rPr>
          <w:t>Uredba</w:t>
        </w:r>
      </w:hyperlink>
    </w:p>
    <w:p w14:paraId="33FFB475" w14:textId="73BAC8D0" w:rsidR="00BB411B" w:rsidRDefault="00BB411B" w:rsidP="00BB411B">
      <w:pPr>
        <w:rPr>
          <w:rStyle w:val="Strong"/>
          <w:rFonts w:eastAsia="Times New Roman" w:cstheme="minorHAnsi"/>
          <w:color w:val="606060"/>
        </w:rPr>
      </w:pPr>
    </w:p>
    <w:p w14:paraId="4A1ED2A3" w14:textId="77777777" w:rsidR="00FB5D29" w:rsidRPr="00FB5D29" w:rsidRDefault="00FB5D29" w:rsidP="00FB5D29">
      <w:pPr>
        <w:pStyle w:val="Heading3"/>
        <w:rPr>
          <w:rFonts w:asciiTheme="minorHAnsi" w:hAnsiTheme="minorHAnsi" w:cstheme="minorHAnsi"/>
          <w:sz w:val="32"/>
          <w:szCs w:val="32"/>
        </w:rPr>
      </w:pPr>
      <w:r w:rsidRPr="00FB5D29">
        <w:rPr>
          <w:rStyle w:val="Strong"/>
          <w:rFonts w:asciiTheme="minorHAnsi" w:hAnsiTheme="minorHAnsi" w:cstheme="minorHAnsi"/>
          <w:b/>
          <w:bCs/>
          <w:color w:val="000080"/>
          <w:sz w:val="32"/>
          <w:szCs w:val="32"/>
        </w:rPr>
        <w:t>Objavljena je izvedbena uredba o določitvi minimalnih zahtev glede pravic delničarjev</w:t>
      </w:r>
    </w:p>
    <w:p w14:paraId="5FB6CB5F" w14:textId="67B13032" w:rsidR="00BB411B" w:rsidRDefault="00FB5D29" w:rsidP="00FB5D29">
      <w:pPr>
        <w:rPr>
          <w:rStyle w:val="Strong"/>
          <w:rFonts w:eastAsia="Times New Roman" w:cstheme="minorHAnsi"/>
          <w:color w:val="606060"/>
        </w:rPr>
      </w:pPr>
      <w:r w:rsidRPr="00FB5D29">
        <w:rPr>
          <w:rFonts w:eastAsia="Times New Roman" w:cstheme="minorHAnsi"/>
          <w:b/>
          <w:bCs/>
          <w:noProof/>
          <w:color w:val="606060"/>
        </w:rPr>
        <w:drawing>
          <wp:inline distT="0" distB="0" distL="0" distR="0" wp14:anchorId="449CB028" wp14:editId="002F78AB">
            <wp:extent cx="2540000" cy="10223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sidRPr="00FB5D29">
        <w:rPr>
          <w:rFonts w:eastAsia="Times New Roman" w:cstheme="minorHAnsi"/>
          <w:b/>
          <w:bCs/>
          <w:color w:val="606060"/>
        </w:rPr>
        <w:br/>
      </w:r>
      <w:r w:rsidRPr="00FB5D29">
        <w:rPr>
          <w:rStyle w:val="Strong"/>
          <w:rFonts w:eastAsia="Times New Roman" w:cstheme="minorHAnsi"/>
          <w:color w:val="606060"/>
        </w:rPr>
        <w:t>Objavljena je izvedbena uredba Evropske komisije o določitvi minimalnih zahtev za izvajanje določb direktive glede identifikacije delničarjev, posredovanja informacij in olajšanja uveljavljanja pravic delničarjev.</w:t>
      </w:r>
      <w:r w:rsidRPr="00FB5D29">
        <w:rPr>
          <w:rFonts w:eastAsia="Times New Roman" w:cstheme="minorHAnsi"/>
          <w:b/>
          <w:bCs/>
          <w:color w:val="606060"/>
        </w:rPr>
        <w:br/>
      </w:r>
      <w:r w:rsidRPr="00FB5D29">
        <w:rPr>
          <w:rStyle w:val="Strong"/>
          <w:rFonts w:eastAsia="Times New Roman" w:cstheme="minorHAnsi"/>
          <w:color w:val="606060"/>
        </w:rPr>
        <w:t> </w:t>
      </w:r>
      <w:r w:rsidRPr="00FB5D29">
        <w:rPr>
          <w:rFonts w:eastAsia="Times New Roman" w:cstheme="minorHAnsi"/>
          <w:b/>
          <w:bCs/>
          <w:color w:val="606060"/>
        </w:rPr>
        <w:br/>
      </w:r>
      <w:r w:rsidRPr="00FB5D29">
        <w:rPr>
          <w:rStyle w:val="Strong"/>
          <w:rFonts w:eastAsia="Times New Roman" w:cstheme="minorHAnsi"/>
          <w:color w:val="606060"/>
        </w:rPr>
        <w:t>Več:</w:t>
      </w:r>
      <w:r w:rsidRPr="00FB5D29">
        <w:rPr>
          <w:rFonts w:eastAsia="Times New Roman" w:cstheme="minorHAnsi"/>
          <w:b/>
          <w:bCs/>
          <w:color w:val="606060"/>
        </w:rPr>
        <w:br/>
      </w:r>
      <w:hyperlink r:id="rId22" w:history="1">
        <w:r w:rsidRPr="00FB5D29">
          <w:rPr>
            <w:rStyle w:val="Hyperlink"/>
            <w:rFonts w:eastAsia="Times New Roman" w:cstheme="minorHAnsi"/>
            <w:color w:val="DAA520"/>
          </w:rPr>
          <w:t>Izvedbena uredba</w:t>
        </w:r>
      </w:hyperlink>
    </w:p>
    <w:p w14:paraId="1392EBBF" w14:textId="066AC25A" w:rsidR="00FB5D29" w:rsidRDefault="00FB5D29" w:rsidP="00FB5D29">
      <w:pPr>
        <w:rPr>
          <w:rStyle w:val="Strong"/>
          <w:rFonts w:eastAsia="Times New Roman" w:cstheme="minorHAnsi"/>
          <w:color w:val="606060"/>
        </w:rPr>
      </w:pPr>
    </w:p>
    <w:p w14:paraId="3D7AB042" w14:textId="5BF0E9B2" w:rsidR="0026420A" w:rsidRPr="0026420A" w:rsidRDefault="0026420A" w:rsidP="0026420A">
      <w:pPr>
        <w:pStyle w:val="Heading3"/>
        <w:rPr>
          <w:rFonts w:asciiTheme="minorHAnsi" w:hAnsiTheme="minorHAnsi" w:cstheme="minorHAnsi"/>
          <w:sz w:val="32"/>
          <w:szCs w:val="32"/>
        </w:rPr>
      </w:pPr>
      <w:r w:rsidRPr="0026420A">
        <w:rPr>
          <w:rStyle w:val="Strong"/>
          <w:rFonts w:asciiTheme="minorHAnsi" w:hAnsiTheme="minorHAnsi" w:cstheme="minorHAnsi"/>
          <w:b/>
          <w:bCs/>
          <w:color w:val="000080"/>
          <w:sz w:val="32"/>
          <w:szCs w:val="32"/>
        </w:rPr>
        <w:t xml:space="preserve">Objavljeno je poročilo z analizo vpliva epidemije Covida-19 na </w:t>
      </w:r>
      <w:r w:rsidRPr="0026420A">
        <w:rPr>
          <w:rStyle w:val="Strong"/>
          <w:rFonts w:asciiTheme="minorHAnsi" w:hAnsiTheme="minorHAnsi" w:cstheme="minorHAnsi"/>
          <w:b/>
          <w:bCs/>
          <w:color w:val="000080"/>
          <w:sz w:val="32"/>
          <w:szCs w:val="32"/>
        </w:rPr>
        <w:t>finančne trge</w:t>
      </w:r>
      <w:r w:rsidRPr="0026420A">
        <w:rPr>
          <w:rFonts w:asciiTheme="minorHAnsi" w:hAnsiTheme="minorHAnsi" w:cstheme="minorHAnsi"/>
          <w:sz w:val="32"/>
          <w:szCs w:val="32"/>
        </w:rPr>
        <w:br/>
      </w:r>
      <w:r w:rsidRPr="0026420A">
        <w:rPr>
          <w:rFonts w:asciiTheme="minorHAnsi" w:hAnsiTheme="minorHAnsi" w:cstheme="minorHAnsi"/>
          <w:noProof/>
          <w:sz w:val="32"/>
          <w:szCs w:val="32"/>
        </w:rPr>
        <w:drawing>
          <wp:inline distT="0" distB="0" distL="0" distR="0" wp14:anchorId="2C57C058" wp14:editId="5F3A558D">
            <wp:extent cx="2540000" cy="10223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48AEA081" w14:textId="2732A860" w:rsidR="00FB5D29" w:rsidRDefault="0026420A" w:rsidP="0026420A">
      <w:pPr>
        <w:rPr>
          <w:rStyle w:val="Strong"/>
          <w:rFonts w:eastAsia="Times New Roman" w:cstheme="minorHAnsi"/>
          <w:color w:val="606060"/>
        </w:rPr>
      </w:pPr>
      <w:r w:rsidRPr="0026420A">
        <w:rPr>
          <w:rStyle w:val="Strong"/>
          <w:rFonts w:eastAsia="Times New Roman" w:cstheme="minorHAnsi"/>
          <w:color w:val="606060"/>
        </w:rPr>
        <w:t>Evropski organ za vrednostne papirje in trge (ESMA) v poročilu z analizo vpliva epidemije Covida-19 na finančne trge v prvi polovici leta 2020 izpostavlja tveganje zaradi mogoče prekinitve povezave med uspešnostjo finančnih trgov in gospodarstvom. Poročilo bodo predstavili v sredo, 9. septembra, na spletnem seminarju.</w:t>
      </w:r>
      <w:r w:rsidRPr="0026420A">
        <w:rPr>
          <w:rFonts w:eastAsia="Times New Roman" w:cstheme="minorHAnsi"/>
          <w:b/>
          <w:bCs/>
          <w:color w:val="606060"/>
        </w:rPr>
        <w:br/>
      </w:r>
      <w:r w:rsidRPr="0026420A">
        <w:rPr>
          <w:rStyle w:val="Strong"/>
          <w:rFonts w:eastAsia="Times New Roman" w:cstheme="minorHAnsi"/>
          <w:color w:val="606060"/>
        </w:rPr>
        <w:t> </w:t>
      </w:r>
      <w:r w:rsidRPr="0026420A">
        <w:rPr>
          <w:rFonts w:eastAsia="Times New Roman" w:cstheme="minorHAnsi"/>
          <w:b/>
          <w:bCs/>
          <w:color w:val="606060"/>
        </w:rPr>
        <w:br/>
      </w:r>
      <w:r w:rsidRPr="0026420A">
        <w:rPr>
          <w:rStyle w:val="Strong"/>
          <w:rFonts w:eastAsia="Times New Roman" w:cstheme="minorHAnsi"/>
          <w:color w:val="606060"/>
        </w:rPr>
        <w:t>Več:</w:t>
      </w:r>
      <w:r w:rsidRPr="0026420A">
        <w:rPr>
          <w:rFonts w:eastAsia="Times New Roman" w:cstheme="minorHAnsi"/>
          <w:b/>
          <w:bCs/>
          <w:color w:val="606060"/>
        </w:rPr>
        <w:br/>
      </w:r>
      <w:hyperlink r:id="rId24" w:history="1">
        <w:r w:rsidRPr="0026420A">
          <w:rPr>
            <w:rStyle w:val="Hyperlink"/>
            <w:rFonts w:eastAsia="Times New Roman" w:cstheme="minorHAnsi"/>
            <w:color w:val="DAA520"/>
          </w:rPr>
          <w:t>Poročilo</w:t>
        </w:r>
      </w:hyperlink>
      <w:r w:rsidRPr="0026420A">
        <w:rPr>
          <w:rFonts w:eastAsia="Times New Roman" w:cstheme="minorHAnsi"/>
          <w:b/>
          <w:bCs/>
          <w:color w:val="606060"/>
        </w:rPr>
        <w:br/>
      </w:r>
      <w:r w:rsidRPr="0026420A">
        <w:rPr>
          <w:rStyle w:val="Strong"/>
          <w:rFonts w:eastAsia="Times New Roman" w:cstheme="minorHAnsi"/>
          <w:color w:val="606060"/>
        </w:rPr>
        <w:t>in</w:t>
      </w:r>
      <w:r w:rsidRPr="0026420A">
        <w:rPr>
          <w:rFonts w:eastAsia="Times New Roman" w:cstheme="minorHAnsi"/>
          <w:b/>
          <w:bCs/>
          <w:color w:val="606060"/>
        </w:rPr>
        <w:br/>
      </w:r>
      <w:hyperlink r:id="rId25" w:history="1">
        <w:r w:rsidRPr="0026420A">
          <w:rPr>
            <w:rStyle w:val="Hyperlink"/>
            <w:rFonts w:eastAsia="Times New Roman" w:cstheme="minorHAnsi"/>
            <w:color w:val="DAA520"/>
          </w:rPr>
          <w:t>Spletna stran spletnega seminarja s povezavo na obrazec za prijavo</w:t>
        </w:r>
      </w:hyperlink>
    </w:p>
    <w:p w14:paraId="5468D2BA" w14:textId="2D6A956E" w:rsidR="0090665A" w:rsidRPr="0090665A" w:rsidRDefault="0090665A" w:rsidP="0090665A">
      <w:pPr>
        <w:pStyle w:val="Heading3"/>
        <w:rPr>
          <w:rFonts w:asciiTheme="minorHAnsi" w:hAnsiTheme="minorHAnsi" w:cstheme="minorHAnsi"/>
          <w:sz w:val="32"/>
          <w:szCs w:val="32"/>
        </w:rPr>
      </w:pPr>
      <w:r w:rsidRPr="0090665A">
        <w:rPr>
          <w:rStyle w:val="Strong"/>
          <w:rFonts w:asciiTheme="minorHAnsi" w:hAnsiTheme="minorHAnsi" w:cstheme="minorHAnsi"/>
          <w:b/>
          <w:bCs/>
          <w:color w:val="000080"/>
          <w:sz w:val="32"/>
          <w:szCs w:val="32"/>
        </w:rPr>
        <w:t>Sodba Sodišča EU glede odškodnine letalskim potnikom</w:t>
      </w:r>
    </w:p>
    <w:p w14:paraId="78C26AB5" w14:textId="63887D3F" w:rsidR="0026420A" w:rsidRPr="0090665A" w:rsidRDefault="0090665A" w:rsidP="0090665A">
      <w:pPr>
        <w:rPr>
          <w:rFonts w:cstheme="minorHAnsi"/>
          <w:sz w:val="144"/>
          <w:szCs w:val="144"/>
        </w:rPr>
      </w:pPr>
      <w:r w:rsidRPr="0090665A">
        <w:rPr>
          <w:rFonts w:eastAsia="Times New Roman" w:cstheme="minorHAnsi"/>
          <w:b/>
          <w:bCs/>
          <w:noProof/>
          <w:color w:val="606060"/>
        </w:rPr>
        <w:drawing>
          <wp:inline distT="0" distB="0" distL="0" distR="0" wp14:anchorId="568F6D3A" wp14:editId="7CFF2702">
            <wp:extent cx="2540000" cy="10223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r w:rsidRPr="0090665A">
        <w:rPr>
          <w:rFonts w:eastAsia="Times New Roman" w:cstheme="minorHAnsi"/>
          <w:b/>
          <w:bCs/>
          <w:color w:val="606060"/>
        </w:rPr>
        <w:br/>
      </w:r>
      <w:r w:rsidRPr="0090665A">
        <w:rPr>
          <w:rStyle w:val="Strong"/>
          <w:rFonts w:eastAsia="Times New Roman" w:cstheme="minorHAnsi"/>
          <w:color w:val="606060"/>
        </w:rPr>
        <w:t>Uredbo  o določitvi skupnih pravil glede odškodnine in pomoči potnikom v primerih zavrnitve vkrcanja, odpovedi ali velike zamude letov je treba razlagati tako, da lahko potnik, ali njegov pravni naslednik zahteva plačilo zneska odškodnine v nacionalni valuti, ki velja v njegovem kraju prebivališča, je odločilo Sodišče EU.</w:t>
      </w:r>
      <w:r w:rsidRPr="0090665A">
        <w:rPr>
          <w:rFonts w:eastAsia="Times New Roman" w:cstheme="minorHAnsi"/>
          <w:b/>
          <w:bCs/>
          <w:color w:val="606060"/>
        </w:rPr>
        <w:br/>
      </w:r>
      <w:r w:rsidRPr="0090665A">
        <w:rPr>
          <w:rStyle w:val="Strong"/>
          <w:rFonts w:eastAsia="Times New Roman" w:cstheme="minorHAnsi"/>
          <w:color w:val="606060"/>
        </w:rPr>
        <w:t> </w:t>
      </w:r>
      <w:r w:rsidRPr="0090665A">
        <w:rPr>
          <w:rFonts w:eastAsia="Times New Roman" w:cstheme="minorHAnsi"/>
          <w:b/>
          <w:bCs/>
          <w:color w:val="606060"/>
        </w:rPr>
        <w:br/>
      </w:r>
      <w:r w:rsidRPr="0090665A">
        <w:rPr>
          <w:rStyle w:val="Strong"/>
          <w:rFonts w:eastAsia="Times New Roman" w:cstheme="minorHAnsi"/>
          <w:color w:val="606060"/>
        </w:rPr>
        <w:t>Več:</w:t>
      </w:r>
      <w:r w:rsidRPr="0090665A">
        <w:rPr>
          <w:rFonts w:eastAsia="Times New Roman" w:cstheme="minorHAnsi"/>
          <w:b/>
          <w:bCs/>
          <w:color w:val="606060"/>
        </w:rPr>
        <w:br/>
      </w:r>
      <w:hyperlink r:id="rId27" w:history="1">
        <w:r w:rsidRPr="0090665A">
          <w:rPr>
            <w:rStyle w:val="Hyperlink"/>
            <w:rFonts w:eastAsia="Times New Roman" w:cstheme="minorHAnsi"/>
            <w:color w:val="DAA520"/>
          </w:rPr>
          <w:t>Sodba</w:t>
        </w:r>
      </w:hyperlink>
    </w:p>
    <w:sectPr w:rsidR="0026420A" w:rsidRPr="0090665A" w:rsidSect="007812BC">
      <w:headerReference w:type="first" r:id="rId28"/>
      <w:footerReference w:type="first" r:id="rId29"/>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F1D11" w14:textId="77777777" w:rsidR="00CA488F" w:rsidRDefault="00CA488F" w:rsidP="0062633A">
      <w:pPr>
        <w:spacing w:after="0" w:line="240" w:lineRule="auto"/>
      </w:pPr>
      <w:r>
        <w:separator/>
      </w:r>
    </w:p>
  </w:endnote>
  <w:endnote w:type="continuationSeparator" w:id="0">
    <w:p w14:paraId="20CF9C64" w14:textId="77777777" w:rsidR="00CA488F" w:rsidRDefault="00CA488F" w:rsidP="00626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36AED" w14:textId="08CBE169" w:rsidR="007812BC" w:rsidRDefault="007812BC">
    <w:pPr>
      <w:pStyle w:val="Footer"/>
      <w:jc w:val="center"/>
    </w:pPr>
  </w:p>
  <w:p w14:paraId="2A6BCBBA" w14:textId="77777777" w:rsidR="007812BC" w:rsidRDefault="00781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751CC" w14:textId="77777777" w:rsidR="00CA488F" w:rsidRDefault="00CA488F" w:rsidP="0062633A">
      <w:pPr>
        <w:spacing w:after="0" w:line="240" w:lineRule="auto"/>
      </w:pPr>
      <w:r>
        <w:separator/>
      </w:r>
    </w:p>
  </w:footnote>
  <w:footnote w:type="continuationSeparator" w:id="0">
    <w:p w14:paraId="3D3CABAC" w14:textId="77777777" w:rsidR="00CA488F" w:rsidRDefault="00CA488F" w:rsidP="00626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4D4D" w14:textId="6832D4AF" w:rsidR="0062633A" w:rsidRDefault="00206543">
    <w:r>
      <w:rPr>
        <w:noProof/>
      </w:rPr>
      <w:drawing>
        <wp:inline distT="0" distB="0" distL="0" distR="0" wp14:anchorId="4C089037" wp14:editId="25A8FF5D">
          <wp:extent cx="5613400" cy="2523785"/>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701" cy="25410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56C"/>
    <w:rsid w:val="00206543"/>
    <w:rsid w:val="0026420A"/>
    <w:rsid w:val="0031637E"/>
    <w:rsid w:val="003F67D7"/>
    <w:rsid w:val="00447ED1"/>
    <w:rsid w:val="0062633A"/>
    <w:rsid w:val="006D30BE"/>
    <w:rsid w:val="00742766"/>
    <w:rsid w:val="007575E1"/>
    <w:rsid w:val="00775FAB"/>
    <w:rsid w:val="007812BC"/>
    <w:rsid w:val="0090665A"/>
    <w:rsid w:val="009F5348"/>
    <w:rsid w:val="00B25060"/>
    <w:rsid w:val="00BB411B"/>
    <w:rsid w:val="00C10884"/>
    <w:rsid w:val="00CA488F"/>
    <w:rsid w:val="00D347F8"/>
    <w:rsid w:val="00E0656C"/>
    <w:rsid w:val="00EB06DE"/>
    <w:rsid w:val="00EF07AA"/>
    <w:rsid w:val="00FB5D2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F695"/>
  <w15:chartTrackingRefBased/>
  <w15:docId w15:val="{74C96829-8CD3-4056-872D-FF7BBAD3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F5348"/>
    <w:pPr>
      <w:spacing w:before="100" w:beforeAutospacing="1" w:after="100" w:afterAutospacing="1" w:line="240" w:lineRule="auto"/>
      <w:outlineLvl w:val="2"/>
    </w:pPr>
    <w:rPr>
      <w:rFonts w:ascii="Times New Roman" w:eastAsia="Times New Roman" w:hAnsi="Times New Roman" w:cs="Times New Roman"/>
      <w:b/>
      <w:bCs/>
      <w:sz w:val="27"/>
      <w:szCs w:val="27"/>
      <w:lang w:eastAsia="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5348"/>
    <w:rPr>
      <w:rFonts w:ascii="Times New Roman" w:eastAsia="Times New Roman" w:hAnsi="Times New Roman" w:cs="Times New Roman"/>
      <w:b/>
      <w:bCs/>
      <w:sz w:val="27"/>
      <w:szCs w:val="27"/>
      <w:lang w:val="en-BE" w:eastAsia="en-BE"/>
    </w:rPr>
  </w:style>
  <w:style w:type="character" w:styleId="Strong">
    <w:name w:val="Strong"/>
    <w:basedOn w:val="DefaultParagraphFont"/>
    <w:uiPriority w:val="22"/>
    <w:qFormat/>
    <w:rsid w:val="009F5348"/>
    <w:rPr>
      <w:b/>
      <w:bCs/>
    </w:rPr>
  </w:style>
  <w:style w:type="character" w:styleId="Hyperlink">
    <w:name w:val="Hyperlink"/>
    <w:basedOn w:val="DefaultParagraphFont"/>
    <w:uiPriority w:val="99"/>
    <w:unhideWhenUsed/>
    <w:rsid w:val="009F5348"/>
    <w:rPr>
      <w:color w:val="0000FF"/>
      <w:u w:val="single"/>
    </w:rPr>
  </w:style>
  <w:style w:type="character" w:styleId="UnresolvedMention">
    <w:name w:val="Unresolved Mention"/>
    <w:basedOn w:val="DefaultParagraphFont"/>
    <w:uiPriority w:val="99"/>
    <w:semiHidden/>
    <w:unhideWhenUsed/>
    <w:rsid w:val="00742766"/>
    <w:rPr>
      <w:color w:val="605E5C"/>
      <w:shd w:val="clear" w:color="auto" w:fill="E1DFDD"/>
    </w:rPr>
  </w:style>
  <w:style w:type="paragraph" w:styleId="Header">
    <w:name w:val="header"/>
    <w:basedOn w:val="Normal"/>
    <w:link w:val="HeaderChar"/>
    <w:uiPriority w:val="99"/>
    <w:unhideWhenUsed/>
    <w:rsid w:val="00206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543"/>
  </w:style>
  <w:style w:type="paragraph" w:styleId="Footer">
    <w:name w:val="footer"/>
    <w:basedOn w:val="Normal"/>
    <w:link w:val="FooterChar"/>
    <w:uiPriority w:val="99"/>
    <w:unhideWhenUsed/>
    <w:rsid w:val="00206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9740">
      <w:bodyDiv w:val="1"/>
      <w:marLeft w:val="0"/>
      <w:marRight w:val="0"/>
      <w:marTop w:val="0"/>
      <w:marBottom w:val="0"/>
      <w:divBdr>
        <w:top w:val="none" w:sz="0" w:space="0" w:color="auto"/>
        <w:left w:val="none" w:sz="0" w:space="0" w:color="auto"/>
        <w:bottom w:val="none" w:sz="0" w:space="0" w:color="auto"/>
        <w:right w:val="none" w:sz="0" w:space="0" w:color="auto"/>
      </w:divBdr>
    </w:div>
    <w:div w:id="169492927">
      <w:bodyDiv w:val="1"/>
      <w:marLeft w:val="0"/>
      <w:marRight w:val="0"/>
      <w:marTop w:val="0"/>
      <w:marBottom w:val="0"/>
      <w:divBdr>
        <w:top w:val="none" w:sz="0" w:space="0" w:color="auto"/>
        <w:left w:val="none" w:sz="0" w:space="0" w:color="auto"/>
        <w:bottom w:val="none" w:sz="0" w:space="0" w:color="auto"/>
        <w:right w:val="none" w:sz="0" w:space="0" w:color="auto"/>
      </w:divBdr>
    </w:div>
    <w:div w:id="282687888">
      <w:bodyDiv w:val="1"/>
      <w:marLeft w:val="0"/>
      <w:marRight w:val="0"/>
      <w:marTop w:val="0"/>
      <w:marBottom w:val="0"/>
      <w:divBdr>
        <w:top w:val="none" w:sz="0" w:space="0" w:color="auto"/>
        <w:left w:val="none" w:sz="0" w:space="0" w:color="auto"/>
        <w:bottom w:val="none" w:sz="0" w:space="0" w:color="auto"/>
        <w:right w:val="none" w:sz="0" w:space="0" w:color="auto"/>
      </w:divBdr>
    </w:div>
    <w:div w:id="481850485">
      <w:bodyDiv w:val="1"/>
      <w:marLeft w:val="0"/>
      <w:marRight w:val="0"/>
      <w:marTop w:val="0"/>
      <w:marBottom w:val="0"/>
      <w:divBdr>
        <w:top w:val="none" w:sz="0" w:space="0" w:color="auto"/>
        <w:left w:val="none" w:sz="0" w:space="0" w:color="auto"/>
        <w:bottom w:val="none" w:sz="0" w:space="0" w:color="auto"/>
        <w:right w:val="none" w:sz="0" w:space="0" w:color="auto"/>
      </w:divBdr>
    </w:div>
    <w:div w:id="827136924">
      <w:bodyDiv w:val="1"/>
      <w:marLeft w:val="0"/>
      <w:marRight w:val="0"/>
      <w:marTop w:val="0"/>
      <w:marBottom w:val="0"/>
      <w:divBdr>
        <w:top w:val="none" w:sz="0" w:space="0" w:color="auto"/>
        <w:left w:val="none" w:sz="0" w:space="0" w:color="auto"/>
        <w:bottom w:val="none" w:sz="0" w:space="0" w:color="auto"/>
        <w:right w:val="none" w:sz="0" w:space="0" w:color="auto"/>
      </w:divBdr>
    </w:div>
    <w:div w:id="1165585022">
      <w:bodyDiv w:val="1"/>
      <w:marLeft w:val="0"/>
      <w:marRight w:val="0"/>
      <w:marTop w:val="0"/>
      <w:marBottom w:val="0"/>
      <w:divBdr>
        <w:top w:val="none" w:sz="0" w:space="0" w:color="auto"/>
        <w:left w:val="none" w:sz="0" w:space="0" w:color="auto"/>
        <w:bottom w:val="none" w:sz="0" w:space="0" w:color="auto"/>
        <w:right w:val="none" w:sz="0" w:space="0" w:color="auto"/>
      </w:divBdr>
    </w:div>
    <w:div w:id="1187331445">
      <w:bodyDiv w:val="1"/>
      <w:marLeft w:val="0"/>
      <w:marRight w:val="0"/>
      <w:marTop w:val="0"/>
      <w:marBottom w:val="0"/>
      <w:divBdr>
        <w:top w:val="none" w:sz="0" w:space="0" w:color="auto"/>
        <w:left w:val="none" w:sz="0" w:space="0" w:color="auto"/>
        <w:bottom w:val="none" w:sz="0" w:space="0" w:color="auto"/>
        <w:right w:val="none" w:sz="0" w:space="0" w:color="auto"/>
      </w:divBdr>
    </w:div>
    <w:div w:id="1274021844">
      <w:bodyDiv w:val="1"/>
      <w:marLeft w:val="0"/>
      <w:marRight w:val="0"/>
      <w:marTop w:val="0"/>
      <w:marBottom w:val="0"/>
      <w:divBdr>
        <w:top w:val="none" w:sz="0" w:space="0" w:color="auto"/>
        <w:left w:val="none" w:sz="0" w:space="0" w:color="auto"/>
        <w:bottom w:val="none" w:sz="0" w:space="0" w:color="auto"/>
        <w:right w:val="none" w:sz="0" w:space="0" w:color="auto"/>
      </w:divBdr>
    </w:div>
    <w:div w:id="1467627327">
      <w:bodyDiv w:val="1"/>
      <w:marLeft w:val="0"/>
      <w:marRight w:val="0"/>
      <w:marTop w:val="0"/>
      <w:marBottom w:val="0"/>
      <w:divBdr>
        <w:top w:val="none" w:sz="0" w:space="0" w:color="auto"/>
        <w:left w:val="none" w:sz="0" w:space="0" w:color="auto"/>
        <w:bottom w:val="none" w:sz="0" w:space="0" w:color="auto"/>
        <w:right w:val="none" w:sz="0" w:space="0" w:color="auto"/>
      </w:divBdr>
    </w:div>
    <w:div w:id="1524171175">
      <w:bodyDiv w:val="1"/>
      <w:marLeft w:val="0"/>
      <w:marRight w:val="0"/>
      <w:marTop w:val="0"/>
      <w:marBottom w:val="0"/>
      <w:divBdr>
        <w:top w:val="none" w:sz="0" w:space="0" w:color="auto"/>
        <w:left w:val="none" w:sz="0" w:space="0" w:color="auto"/>
        <w:bottom w:val="none" w:sz="0" w:space="0" w:color="auto"/>
        <w:right w:val="none" w:sz="0" w:space="0" w:color="auto"/>
      </w:divBdr>
    </w:div>
    <w:div w:id="1574008585">
      <w:bodyDiv w:val="1"/>
      <w:marLeft w:val="0"/>
      <w:marRight w:val="0"/>
      <w:marTop w:val="0"/>
      <w:marBottom w:val="0"/>
      <w:divBdr>
        <w:top w:val="none" w:sz="0" w:space="0" w:color="auto"/>
        <w:left w:val="none" w:sz="0" w:space="0" w:color="auto"/>
        <w:bottom w:val="none" w:sz="0" w:space="0" w:color="auto"/>
        <w:right w:val="none" w:sz="0" w:space="0" w:color="auto"/>
      </w:divBdr>
    </w:div>
    <w:div w:id="1648241244">
      <w:bodyDiv w:val="1"/>
      <w:marLeft w:val="0"/>
      <w:marRight w:val="0"/>
      <w:marTop w:val="0"/>
      <w:marBottom w:val="0"/>
      <w:divBdr>
        <w:top w:val="none" w:sz="0" w:space="0" w:color="auto"/>
        <w:left w:val="none" w:sz="0" w:space="0" w:color="auto"/>
        <w:bottom w:val="none" w:sz="0" w:space="0" w:color="auto"/>
        <w:right w:val="none" w:sz="0" w:space="0" w:color="auto"/>
      </w:divBdr>
    </w:div>
    <w:div w:id="1857499797">
      <w:bodyDiv w:val="1"/>
      <w:marLeft w:val="0"/>
      <w:marRight w:val="0"/>
      <w:marTop w:val="0"/>
      <w:marBottom w:val="0"/>
      <w:divBdr>
        <w:top w:val="none" w:sz="0" w:space="0" w:color="auto"/>
        <w:left w:val="none" w:sz="0" w:space="0" w:color="auto"/>
        <w:bottom w:val="none" w:sz="0" w:space="0" w:color="auto"/>
        <w:right w:val="none" w:sz="0" w:space="0" w:color="auto"/>
      </w:divBdr>
    </w:div>
    <w:div w:id="1956398215">
      <w:bodyDiv w:val="1"/>
      <w:marLeft w:val="0"/>
      <w:marRight w:val="0"/>
      <w:marTop w:val="0"/>
      <w:marBottom w:val="0"/>
      <w:divBdr>
        <w:top w:val="none" w:sz="0" w:space="0" w:color="auto"/>
        <w:left w:val="none" w:sz="0" w:space="0" w:color="auto"/>
        <w:bottom w:val="none" w:sz="0" w:space="0" w:color="auto"/>
        <w:right w:val="none" w:sz="0" w:space="0" w:color="auto"/>
      </w:divBdr>
    </w:div>
    <w:div w:id="2099137340">
      <w:bodyDiv w:val="1"/>
      <w:marLeft w:val="0"/>
      <w:marRight w:val="0"/>
      <w:marTop w:val="0"/>
      <w:marBottom w:val="0"/>
      <w:divBdr>
        <w:top w:val="none" w:sz="0" w:space="0" w:color="auto"/>
        <w:left w:val="none" w:sz="0" w:space="0" w:color="auto"/>
        <w:bottom w:val="none" w:sz="0" w:space="0" w:color="auto"/>
        <w:right w:val="none" w:sz="0" w:space="0" w:color="auto"/>
      </w:divBdr>
    </w:div>
    <w:div w:id="21319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c.europa.eu/trade/policy/in-focus/eu-vietnam-agreement/" TargetMode="External"/><Relationship Id="rId18" Type="http://schemas.openxmlformats.org/officeDocument/2006/relationships/hyperlink" Target="https://eur-lex.europa.eu/legal-content/SL/TXT/HTML/?uri=CELEX:32020R0672&amp;from=SL" TargetMode="External"/><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ec.europa.eu/taxation_customs/business/calculation-customs-duties/rules-origin/general-aspects-preferential-origin/arrangements-list/new-pem-rules-of-origin_en" TargetMode="External"/><Relationship Id="rId12" Type="http://schemas.openxmlformats.org/officeDocument/2006/relationships/image" Target="media/image4.png"/><Relationship Id="rId17" Type="http://schemas.openxmlformats.org/officeDocument/2006/relationships/hyperlink" Target="https://ec.europa.eu/info/publications/sure-commission-proposals-council-support-member-states_sl" TargetMode="External"/><Relationship Id="rId25" Type="http://schemas.openxmlformats.org/officeDocument/2006/relationships/hyperlink" Target="https://www.esma.europa.eu/press-news/hearings/webinar-esmas-report-trends-risks-and-vulnerabilities-no2-2020"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s://eur-lex.europa.eu/legal-content/SL/TXT/PDF/?uri=CELEX:32018R0858"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if.org/what_we_do/equity/single_eu_equity_instrument/innovfin-equity/index.htm?lang=-en" TargetMode="External"/><Relationship Id="rId24" Type="http://schemas.openxmlformats.org/officeDocument/2006/relationships/hyperlink" Target="https://www.esma.europa.eu/sites/default/files/library/esma_50-165-1287_report_on_trends_risks_and_vulnerabilities_no.2_2020.pdf" TargetMode="External"/><Relationship Id="rId5" Type="http://schemas.openxmlformats.org/officeDocument/2006/relationships/endnotes" Target="endnotes.xml"/><Relationship Id="rId15" Type="http://schemas.openxmlformats.org/officeDocument/2006/relationships/hyperlink" Target="https://eur-lex.europa.eu/legal-content/SL/TXT/HTML/?uri=CELEX:32020R1156&amp;from=EN" TargetMode="External"/><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c.europa.eu/competition/elojade/isef/case_details.cfm?proc_code=3_SA_57782" TargetMode="External"/><Relationship Id="rId14" Type="http://schemas.openxmlformats.org/officeDocument/2006/relationships/image" Target="media/image5.png"/><Relationship Id="rId22" Type="http://schemas.openxmlformats.org/officeDocument/2006/relationships/hyperlink" Target="https://eur-lex.europa.eu/legal-content/SL/TXT/HTML/?uri=CELEX:32018R1212&amp;from=EN" TargetMode="External"/><Relationship Id="rId27" Type="http://schemas.openxmlformats.org/officeDocument/2006/relationships/hyperlink" Target="http://curia.europa.eu/juris/documents.jsf?oqp=&amp;for=&amp;mat=or&amp;lgrec=en&amp;jge=&amp;td=%3BALL&amp;jur=C%2CT%2CF&amp;num=C-356%252F19&amp;page=1&amp;dates=&amp;pcs=Oor&amp;lg=&amp;pro=&amp;nat=or&amp;cit=none%252CC%252CCJ%252CR%252C2008E%252C%252C%252C%252C%252C%252C%252C%252C%252C%252Ctrue%252Cfalse%252"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bostjansinkovec@yahoo.com</dc:creator>
  <cp:keywords/>
  <dc:description/>
  <cp:lastModifiedBy>Bostjan Sinkovec</cp:lastModifiedBy>
  <cp:revision>13</cp:revision>
  <dcterms:created xsi:type="dcterms:W3CDTF">2020-09-10T16:43:00Z</dcterms:created>
  <dcterms:modified xsi:type="dcterms:W3CDTF">2020-09-11T13:11:00Z</dcterms:modified>
</cp:coreProperties>
</file>