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B0D6" w14:textId="5A51A3B2" w:rsidR="00C300BB" w:rsidRDefault="00CC559F" w:rsidP="00C915C1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hAnsi="Arial"/>
          <w:b/>
          <w:bCs/>
          <w:noProof/>
          <w:color w:val="4472C4" w:themeColor="accent1"/>
          <w:sz w:val="20"/>
          <w:szCs w:val="20"/>
        </w:rPr>
        <w:drawing>
          <wp:inline distT="0" distB="0" distL="0" distR="0" wp14:anchorId="0901BABC" wp14:editId="076850B7">
            <wp:extent cx="2598634" cy="1041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54" cy="104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682D6" w14:textId="0626600E" w:rsidR="00C915C1" w:rsidRPr="003E633C" w:rsidRDefault="00C915C1" w:rsidP="00C915C1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Revizijsko poročilo o najemanju zunanjih svetovalcev</w:t>
      </w:r>
    </w:p>
    <w:p w14:paraId="4A461EC3" w14:textId="77777777" w:rsidR="00C915C1" w:rsidRPr="003E633C" w:rsidRDefault="00C915C1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7F170291" w14:textId="77777777" w:rsidR="00C915C1" w:rsidRPr="003E633C" w:rsidRDefault="00C915C1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Evropska komisija ne najema in uporablja zunanjih svetovalcev tako, da bi bila zagotovljena stroškovna učinkovitost ali v celoti varovani njeni interesi, so ugotovili revizorji Evropskega računskega sodišča.</w:t>
      </w:r>
    </w:p>
    <w:p w14:paraId="30CA6BD0" w14:textId="77777777" w:rsidR="00C915C1" w:rsidRPr="003E633C" w:rsidRDefault="00C915C1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6096DD35" w14:textId="77777777" w:rsidR="00C915C1" w:rsidRPr="003E633C" w:rsidRDefault="00C915C1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16B12182" w14:textId="77777777" w:rsidR="00C915C1" w:rsidRPr="003E633C" w:rsidRDefault="00C915C1" w:rsidP="00C915C1">
      <w:pPr>
        <w:jc w:val="both"/>
        <w:rPr>
          <w:rFonts w:ascii="Arial" w:hAnsi="Arial"/>
          <w:color w:val="FFC000"/>
          <w:sz w:val="20"/>
          <w:szCs w:val="20"/>
        </w:rPr>
      </w:pPr>
      <w:hyperlink r:id="rId7" w:history="1">
        <w:r w:rsidRPr="003E633C">
          <w:rPr>
            <w:rStyle w:val="Hyperlink"/>
            <w:rFonts w:ascii="Arial" w:hAnsi="Arial"/>
            <w:color w:val="FFC000"/>
            <w:sz w:val="20"/>
            <w:szCs w:val="20"/>
          </w:rPr>
          <w:t>Poročilo</w:t>
        </w:r>
      </w:hyperlink>
    </w:p>
    <w:p w14:paraId="104A2CB4" w14:textId="77777777" w:rsidR="00C915C1" w:rsidRPr="003E633C" w:rsidRDefault="00C915C1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6F83B128" w14:textId="77777777" w:rsidR="00970D17" w:rsidRPr="003E633C" w:rsidRDefault="00970D17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0B438788" w14:textId="4B454DFD" w:rsidR="00544B5F" w:rsidRDefault="00544B5F" w:rsidP="00C915C1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hAnsi="Arial"/>
          <w:b/>
          <w:bCs/>
          <w:noProof/>
          <w:color w:val="4472C4" w:themeColor="accent1"/>
          <w:sz w:val="20"/>
          <w:szCs w:val="20"/>
        </w:rPr>
        <w:drawing>
          <wp:inline distT="0" distB="0" distL="0" distR="0" wp14:anchorId="3CCDBD46" wp14:editId="6B55F117">
            <wp:extent cx="2598634" cy="1041400"/>
            <wp:effectExtent l="0" t="0" r="0" b="6350"/>
            <wp:docPr id="6" name="Picture 6" descr="A picture containing text, green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green,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14" cy="10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A067" w14:textId="5DE091BA" w:rsidR="00C915C1" w:rsidRPr="003E633C" w:rsidRDefault="00C915C1" w:rsidP="00C915C1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Objavljen je pregled razvoja na področju zaposlovanja in socialnih zadev v Evropi 2022</w:t>
      </w:r>
    </w:p>
    <w:p w14:paraId="3B934CEF" w14:textId="77777777" w:rsidR="00C915C1" w:rsidRPr="003E633C" w:rsidRDefault="00C915C1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1CFB4B89" w14:textId="77777777" w:rsidR="00C915C1" w:rsidRPr="003E633C" w:rsidRDefault="00C915C1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Evropska komisija v pregledu razvoja na področju zaposlovanja in socialnih zadev v Evropi 2022 med drugim ugotavlja, da je izguba delovnih mest med gospodarsko krizo, ki jo je povzročila pandemija COVID-19, najbolj prizadela mlade. Prav tako se razmere na trgu dela zanje izboljšujejo počasneje kot pri drugih starostnih skupinah. Razloge je mogoče iskati v velikem deležu pogodb za določen čas in težavah pri iskanju prve zaposlitve po zaključku izobraževanja.</w:t>
      </w:r>
    </w:p>
    <w:p w14:paraId="6F8D9105" w14:textId="77777777" w:rsidR="00C915C1" w:rsidRPr="003E633C" w:rsidRDefault="00C915C1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25016D3F" w14:textId="77777777" w:rsidR="00C915C1" w:rsidRPr="003E633C" w:rsidRDefault="00C915C1" w:rsidP="00C915C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42C8CA40" w14:textId="77777777" w:rsidR="00C915C1" w:rsidRPr="003E633C" w:rsidRDefault="00C915C1" w:rsidP="00C915C1">
      <w:pPr>
        <w:jc w:val="both"/>
        <w:rPr>
          <w:rFonts w:ascii="Arial" w:hAnsi="Arial"/>
          <w:color w:val="FFC000"/>
          <w:sz w:val="20"/>
          <w:szCs w:val="20"/>
        </w:rPr>
      </w:pPr>
      <w:hyperlink r:id="rId9" w:history="1">
        <w:r w:rsidRPr="003E633C">
          <w:rPr>
            <w:rStyle w:val="Hyperlink"/>
            <w:rFonts w:ascii="Arial" w:hAnsi="Arial"/>
            <w:color w:val="FFC000"/>
            <w:sz w:val="20"/>
            <w:szCs w:val="20"/>
          </w:rPr>
          <w:t>Pregled</w:t>
        </w:r>
      </w:hyperlink>
    </w:p>
    <w:p w14:paraId="6E1B9C4D" w14:textId="61A26DFB" w:rsidR="001E0747" w:rsidRPr="003E633C" w:rsidRDefault="00000000">
      <w:pPr>
        <w:rPr>
          <w:color w:val="1F3864" w:themeColor="accent1" w:themeShade="80"/>
        </w:rPr>
      </w:pPr>
    </w:p>
    <w:p w14:paraId="2F620F6D" w14:textId="7F66AA1C" w:rsidR="00970D17" w:rsidRPr="003E633C" w:rsidRDefault="00AA4676">
      <w:pPr>
        <w:rPr>
          <w:color w:val="1F3864" w:themeColor="accent1" w:themeShade="80"/>
        </w:rPr>
      </w:pPr>
      <w:r>
        <w:rPr>
          <w:noProof/>
          <w:color w:val="4472C4" w:themeColor="accent1"/>
        </w:rPr>
        <w:drawing>
          <wp:inline distT="0" distB="0" distL="0" distR="0" wp14:anchorId="2098E8C4" wp14:editId="2EECCFA8">
            <wp:extent cx="2630324" cy="105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5" cy="105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BA18" w14:textId="77777777" w:rsidR="00970D17" w:rsidRPr="003E633C" w:rsidRDefault="00970D17" w:rsidP="00970D17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EU in Nova Zelandija sta zaključili pogajanja o trgovinskem sporazumu</w:t>
      </w:r>
    </w:p>
    <w:p w14:paraId="228F12A5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65CB1B4E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EU in Nova Zelandija sta zaključili pogajanja o trgovinskem sporazumu. To je prvi trgovinski sporazum EU, ki vsebuje posebno poglavje o trajnostnih prehranskih sistemih, posebni člen o trgovini in enakosti spolov ter posebno določbo o trgovini in reformi subvencij za fosilna goriva. Ko bo sporazum začel veljati, bo liberaliziral tudi zelene dobrine in storitve.</w:t>
      </w:r>
    </w:p>
    <w:p w14:paraId="3BE37799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206FF084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016AB9D2" w14:textId="77777777" w:rsidR="00970D17" w:rsidRPr="00865B31" w:rsidRDefault="00970D17" w:rsidP="00970D17">
      <w:pPr>
        <w:jc w:val="both"/>
        <w:rPr>
          <w:rFonts w:ascii="Arial" w:hAnsi="Arial"/>
          <w:color w:val="FFC000"/>
          <w:sz w:val="20"/>
          <w:szCs w:val="20"/>
        </w:rPr>
      </w:pPr>
      <w:hyperlink r:id="rId11" w:history="1">
        <w:r w:rsidRPr="00865B31">
          <w:rPr>
            <w:rStyle w:val="Hyperlink"/>
            <w:rFonts w:ascii="Arial" w:hAnsi="Arial"/>
            <w:color w:val="FFC000"/>
            <w:sz w:val="20"/>
            <w:szCs w:val="20"/>
          </w:rPr>
          <w:t>Spletna stran z informacijami o sporazumu</w:t>
        </w:r>
      </w:hyperlink>
    </w:p>
    <w:p w14:paraId="0FEE4076" w14:textId="707C59AA" w:rsidR="00970D17" w:rsidRDefault="00970D17">
      <w:pPr>
        <w:rPr>
          <w:color w:val="1F3864" w:themeColor="accent1" w:themeShade="80"/>
        </w:rPr>
      </w:pPr>
    </w:p>
    <w:p w14:paraId="6D88BDA6" w14:textId="77777777" w:rsidR="00C83BB1" w:rsidRPr="003E633C" w:rsidRDefault="00C83BB1">
      <w:pPr>
        <w:rPr>
          <w:color w:val="1F3864" w:themeColor="accent1" w:themeShade="80"/>
        </w:rPr>
      </w:pPr>
    </w:p>
    <w:p w14:paraId="44F1EB3D" w14:textId="7F809A9C" w:rsidR="00970D17" w:rsidRPr="003E633C" w:rsidRDefault="00AA4676">
      <w:pPr>
        <w:rPr>
          <w:color w:val="1F3864" w:themeColor="accent1" w:themeShade="80"/>
        </w:rPr>
      </w:pPr>
      <w:r>
        <w:rPr>
          <w:noProof/>
          <w:color w:val="4472C4" w:themeColor="accent1"/>
        </w:rPr>
        <w:drawing>
          <wp:inline distT="0" distB="0" distL="0" distR="0" wp14:anchorId="03B85EF1" wp14:editId="6E4CB7B4">
            <wp:extent cx="2646170" cy="1060450"/>
            <wp:effectExtent l="0" t="0" r="1905" b="635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282" cy="10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3F4B" w14:textId="77777777" w:rsidR="00970D17" w:rsidRPr="003E633C" w:rsidRDefault="00970D17" w:rsidP="00970D17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Sodba o upoštevanju dobe za vzgojo otrok pri izračunu starostne pokojnine</w:t>
      </w:r>
    </w:p>
    <w:p w14:paraId="1410E003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666E9CAB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Pri izračunu starostne pokojnine je treba upoštevati dobo za vzgojo otrok, dopolnjeno v drugih državah članicah, je presodilo Sodišče EU.</w:t>
      </w:r>
    </w:p>
    <w:p w14:paraId="3C7D3432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2A484778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31EA9040" w14:textId="77777777" w:rsidR="00970D17" w:rsidRPr="00865B31" w:rsidRDefault="00970D17" w:rsidP="00970D17">
      <w:pPr>
        <w:jc w:val="both"/>
        <w:rPr>
          <w:rFonts w:ascii="Arial" w:hAnsi="Arial"/>
          <w:color w:val="FFC000"/>
          <w:sz w:val="20"/>
          <w:szCs w:val="20"/>
        </w:rPr>
      </w:pPr>
      <w:hyperlink r:id="rId13" w:history="1">
        <w:r w:rsidRPr="00865B31">
          <w:rPr>
            <w:rStyle w:val="Hyperlink"/>
            <w:rFonts w:ascii="Arial" w:hAnsi="Arial"/>
            <w:color w:val="FFC000"/>
            <w:sz w:val="20"/>
            <w:szCs w:val="20"/>
          </w:rPr>
          <w:t>Sodba</w:t>
        </w:r>
      </w:hyperlink>
    </w:p>
    <w:p w14:paraId="45994CE8" w14:textId="57F8F8FE" w:rsidR="00970D17" w:rsidRPr="003E633C" w:rsidRDefault="00970D17">
      <w:pPr>
        <w:rPr>
          <w:color w:val="1F3864" w:themeColor="accent1" w:themeShade="80"/>
        </w:rPr>
      </w:pPr>
    </w:p>
    <w:p w14:paraId="057510F4" w14:textId="77180A99" w:rsidR="00970D17" w:rsidRPr="003E633C" w:rsidRDefault="00970D17">
      <w:pPr>
        <w:rPr>
          <w:color w:val="1F3864" w:themeColor="accent1" w:themeShade="80"/>
        </w:rPr>
      </w:pPr>
    </w:p>
    <w:p w14:paraId="752E532F" w14:textId="77777777" w:rsidR="00C83BB1" w:rsidRDefault="00C83BB1" w:rsidP="00970D17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</w:p>
    <w:p w14:paraId="0209F665" w14:textId="0B0F71E8" w:rsidR="00970D17" w:rsidRPr="003E633C" w:rsidRDefault="00C83BB1" w:rsidP="00970D17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hAnsi="Arial"/>
          <w:b/>
          <w:bCs/>
          <w:noProof/>
          <w:color w:val="4472C4" w:themeColor="accent1"/>
          <w:sz w:val="20"/>
          <w:szCs w:val="20"/>
        </w:rPr>
        <w:lastRenderedPageBreak/>
        <w:drawing>
          <wp:inline distT="0" distB="0" distL="0" distR="0" wp14:anchorId="6A919504" wp14:editId="134922F4">
            <wp:extent cx="2646170" cy="1060450"/>
            <wp:effectExtent l="0" t="0" r="1905" b="6350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415" cy="106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D17"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Javni razpis za podporo izvajanju direktive EU o zajemanju in shranjevanju ogljika</w:t>
      </w:r>
    </w:p>
    <w:p w14:paraId="533E2661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12533F18" w14:textId="22555601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 xml:space="preserve">Evropska komisija je objavila javni razpis za podporo izvajanju direktive EU o zajemanju in shranjevanju ogljika. Rok za oddajo prijav se izteče 29. avgusta. </w:t>
      </w:r>
    </w:p>
    <w:p w14:paraId="1EA83CC2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372FAB6E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3AD06358" w14:textId="1A90F8C6" w:rsidR="00970D17" w:rsidRPr="00865B31" w:rsidRDefault="00970D17" w:rsidP="00970D17">
      <w:pPr>
        <w:jc w:val="both"/>
        <w:rPr>
          <w:rStyle w:val="Hyperlink"/>
          <w:rFonts w:ascii="Arial" w:hAnsi="Arial"/>
          <w:color w:val="FFC000"/>
          <w:sz w:val="20"/>
          <w:szCs w:val="20"/>
        </w:rPr>
      </w:pPr>
      <w:hyperlink r:id="rId15" w:history="1">
        <w:r w:rsidRPr="00865B31">
          <w:rPr>
            <w:rStyle w:val="Hyperlink"/>
            <w:rFonts w:ascii="Arial" w:hAnsi="Arial"/>
            <w:color w:val="FFC000"/>
            <w:sz w:val="20"/>
            <w:szCs w:val="20"/>
          </w:rPr>
          <w:t>Razpis</w:t>
        </w:r>
      </w:hyperlink>
    </w:p>
    <w:p w14:paraId="46A4899D" w14:textId="31402307" w:rsidR="00970D17" w:rsidRPr="003E633C" w:rsidRDefault="00970D17" w:rsidP="00970D17">
      <w:pPr>
        <w:jc w:val="both"/>
        <w:rPr>
          <w:rStyle w:val="Hyperlink"/>
          <w:rFonts w:ascii="Arial" w:hAnsi="Arial"/>
          <w:color w:val="1F3864" w:themeColor="accent1" w:themeShade="80"/>
          <w:sz w:val="20"/>
          <w:szCs w:val="20"/>
        </w:rPr>
      </w:pPr>
    </w:p>
    <w:p w14:paraId="048C98F7" w14:textId="33AC94FA" w:rsidR="00970D17" w:rsidRDefault="00970D17" w:rsidP="00970D17">
      <w:pPr>
        <w:jc w:val="both"/>
        <w:rPr>
          <w:rStyle w:val="Hyperlink"/>
          <w:rFonts w:ascii="Arial" w:hAnsi="Arial"/>
          <w:color w:val="1F3864" w:themeColor="accent1" w:themeShade="80"/>
          <w:sz w:val="20"/>
          <w:szCs w:val="20"/>
        </w:rPr>
      </w:pPr>
    </w:p>
    <w:p w14:paraId="7EDC11CF" w14:textId="4484D2B8" w:rsidR="00C15A4E" w:rsidRPr="003E633C" w:rsidRDefault="00C15A4E" w:rsidP="00970D17">
      <w:pPr>
        <w:jc w:val="both"/>
        <w:rPr>
          <w:rStyle w:val="Hyperlink"/>
          <w:rFonts w:ascii="Arial" w:hAnsi="Arial"/>
          <w:color w:val="1F3864" w:themeColor="accent1" w:themeShade="80"/>
          <w:sz w:val="20"/>
          <w:szCs w:val="20"/>
        </w:rPr>
      </w:pPr>
      <w:r w:rsidRPr="00934518">
        <w:rPr>
          <w:rFonts w:ascii="Arial" w:hAnsi="Arial"/>
          <w:noProof/>
          <w:color w:val="4472C4" w:themeColor="accent1"/>
          <w:sz w:val="20"/>
          <w:szCs w:val="20"/>
        </w:rPr>
        <w:drawing>
          <wp:inline distT="0" distB="0" distL="0" distR="0" wp14:anchorId="3694C332" wp14:editId="1EF96DD5">
            <wp:extent cx="2598634" cy="1041400"/>
            <wp:effectExtent l="0" t="0" r="0" b="6350"/>
            <wp:docPr id="10" name="Picture 10" descr="A picture containing text, electronics, person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electronics, person, display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328" cy="104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628D" w14:textId="77777777" w:rsidR="00970D17" w:rsidRPr="003E633C" w:rsidRDefault="00970D17" w:rsidP="00970D17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S prvim julijem je začela veljati nova uredba o gostovanju</w:t>
      </w:r>
    </w:p>
    <w:p w14:paraId="70A196EF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02283541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S prvim julijem je stopila v veljavo nova uredba o gostovanju, ki shemo Gostovanje kot doma, ki popotnikom v EU in evropskem gospodarskem prostoru omogoča klice, pisanje sporočil in brskanje po spletu v tujini brez dodatnih stroškov, podaljšuje do leta 2032.</w:t>
      </w:r>
    </w:p>
    <w:p w14:paraId="5B8FBDC7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347059DB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5533F9E1" w14:textId="77777777" w:rsidR="00970D17" w:rsidRPr="00865B31" w:rsidRDefault="00970D17" w:rsidP="00970D17">
      <w:pPr>
        <w:jc w:val="both"/>
        <w:rPr>
          <w:rFonts w:ascii="Arial" w:hAnsi="Arial"/>
          <w:color w:val="FFC000"/>
          <w:sz w:val="20"/>
          <w:szCs w:val="20"/>
        </w:rPr>
      </w:pPr>
      <w:hyperlink r:id="rId17" w:history="1">
        <w:r w:rsidRPr="00865B31">
          <w:rPr>
            <w:rStyle w:val="Hyperlink"/>
            <w:rFonts w:ascii="Arial" w:hAnsi="Arial"/>
            <w:color w:val="FFC000"/>
            <w:sz w:val="20"/>
            <w:szCs w:val="20"/>
          </w:rPr>
          <w:t>Sporočilo Evropske komisije</w:t>
        </w:r>
      </w:hyperlink>
    </w:p>
    <w:p w14:paraId="19E3843B" w14:textId="77777777" w:rsidR="00970D17" w:rsidRPr="003E633C" w:rsidRDefault="00970D17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6DC6349B" w14:textId="786E5335" w:rsidR="00A24230" w:rsidRDefault="00A24230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3B7B056D" w14:textId="08F9F162" w:rsidR="00934518" w:rsidRPr="003E633C" w:rsidRDefault="00934518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>
        <w:rPr>
          <w:rFonts w:ascii="Arial" w:hAnsi="Arial"/>
          <w:noProof/>
          <w:color w:val="4472C4" w:themeColor="accent1"/>
          <w:sz w:val="20"/>
          <w:szCs w:val="20"/>
        </w:rPr>
        <w:drawing>
          <wp:inline distT="0" distB="0" distL="0" distR="0" wp14:anchorId="77ADF445" wp14:editId="3FDC0307">
            <wp:extent cx="2598634" cy="1041400"/>
            <wp:effectExtent l="0" t="0" r="0" b="6350"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328" cy="104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0F39" w14:textId="77777777" w:rsidR="00A24230" w:rsidRPr="003E633C" w:rsidRDefault="00A24230" w:rsidP="00A24230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 xml:space="preserve">Evropska komisija zbira mnenja o posodobitvah uredbe de </w:t>
      </w:r>
      <w:proofErr w:type="spellStart"/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minimis</w:t>
      </w:r>
      <w:proofErr w:type="spellEnd"/>
    </w:p>
    <w:p w14:paraId="269DF3B9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149BB6E8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 xml:space="preserve">Evropska komisija do 25. julija zbira mnenja deležnikov o posodobitvah uredbe de </w:t>
      </w:r>
      <w:proofErr w:type="spellStart"/>
      <w:r w:rsidRPr="003E633C">
        <w:rPr>
          <w:rFonts w:ascii="Arial" w:hAnsi="Arial"/>
          <w:color w:val="1F3864" w:themeColor="accent1" w:themeShade="80"/>
          <w:sz w:val="20"/>
          <w:szCs w:val="20"/>
        </w:rPr>
        <w:t>minimis</w:t>
      </w:r>
      <w:proofErr w:type="spellEnd"/>
      <w:r w:rsidRPr="003E633C">
        <w:rPr>
          <w:rFonts w:ascii="Arial" w:hAnsi="Arial"/>
          <w:color w:val="1F3864" w:themeColor="accent1" w:themeShade="80"/>
          <w:sz w:val="20"/>
          <w:szCs w:val="20"/>
        </w:rPr>
        <w:t xml:space="preserve">. Veljavna pravila se bodo iztekla 31. decembra 2023. Cilj predlaganih sprememb je posodobiti sedanji prag de </w:t>
      </w:r>
      <w:proofErr w:type="spellStart"/>
      <w:r w:rsidRPr="003E633C">
        <w:rPr>
          <w:rFonts w:ascii="Arial" w:hAnsi="Arial"/>
          <w:color w:val="1F3864" w:themeColor="accent1" w:themeShade="80"/>
          <w:sz w:val="20"/>
          <w:szCs w:val="20"/>
        </w:rPr>
        <w:t>minimis</w:t>
      </w:r>
      <w:proofErr w:type="spellEnd"/>
      <w:r w:rsidRPr="003E633C">
        <w:rPr>
          <w:rFonts w:ascii="Arial" w:hAnsi="Arial"/>
          <w:color w:val="1F3864" w:themeColor="accent1" w:themeShade="80"/>
          <w:sz w:val="20"/>
          <w:szCs w:val="20"/>
        </w:rPr>
        <w:t xml:space="preserve"> ob upoštevanju pretekle in ocenjene inflacije za obdobje 2014-2030 ter nedavnega gospodarskega razvoja.</w:t>
      </w:r>
    </w:p>
    <w:p w14:paraId="34C4ACB0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78219D92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3CA6EEBD" w14:textId="77777777" w:rsidR="00A24230" w:rsidRPr="00865B31" w:rsidRDefault="00A24230" w:rsidP="00A24230">
      <w:pPr>
        <w:jc w:val="both"/>
        <w:rPr>
          <w:rFonts w:ascii="Arial" w:hAnsi="Arial"/>
          <w:color w:val="FFC000"/>
          <w:sz w:val="20"/>
          <w:szCs w:val="20"/>
        </w:rPr>
      </w:pPr>
      <w:hyperlink r:id="rId19" w:history="1">
        <w:r w:rsidRPr="00865B31">
          <w:rPr>
            <w:rStyle w:val="Hyperlink"/>
            <w:rFonts w:ascii="Arial" w:hAnsi="Arial"/>
            <w:color w:val="FFC000"/>
            <w:sz w:val="20"/>
            <w:szCs w:val="20"/>
          </w:rPr>
          <w:t>Spletna stran za oddajo mnenj</w:t>
        </w:r>
      </w:hyperlink>
    </w:p>
    <w:p w14:paraId="3DE02688" w14:textId="77777777" w:rsidR="00865B31" w:rsidRDefault="00865B31" w:rsidP="00A24230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</w:p>
    <w:p w14:paraId="4EBFC167" w14:textId="0C921FE7" w:rsidR="00AA7E39" w:rsidRDefault="00AA7E39" w:rsidP="00A24230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hAnsi="Arial"/>
          <w:b/>
          <w:bCs/>
          <w:noProof/>
          <w:color w:val="4472C4" w:themeColor="accent1"/>
          <w:sz w:val="20"/>
          <w:szCs w:val="20"/>
        </w:rPr>
        <w:drawing>
          <wp:inline distT="0" distB="0" distL="0" distR="0" wp14:anchorId="5CDE8F86" wp14:editId="006A15D6">
            <wp:extent cx="2566943" cy="1028700"/>
            <wp:effectExtent l="0" t="0" r="508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70" cy="103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7EEDE" w14:textId="164ACDA4" w:rsidR="00A24230" w:rsidRPr="003E633C" w:rsidRDefault="00A24230" w:rsidP="00A24230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Objavljeno je letno poročilo o obdavčitvi za leto 2022</w:t>
      </w:r>
    </w:p>
    <w:p w14:paraId="19B37505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149D0767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Davčni prihodki držav članic EU so se od finančne krize leta 2009 v letu 2021 prvič zmanjšali, Evropska komisija navaja v letnem poročilu o obdavčitvi.</w:t>
      </w:r>
    </w:p>
    <w:p w14:paraId="6731C8F1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7BF6AD2C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415E7934" w14:textId="77777777" w:rsidR="00A24230" w:rsidRPr="00865B31" w:rsidRDefault="00A24230" w:rsidP="00A24230">
      <w:pPr>
        <w:jc w:val="both"/>
        <w:rPr>
          <w:rFonts w:ascii="Arial" w:hAnsi="Arial"/>
          <w:color w:val="FFC000"/>
          <w:sz w:val="20"/>
          <w:szCs w:val="20"/>
        </w:rPr>
      </w:pPr>
      <w:hyperlink r:id="rId21" w:history="1">
        <w:r w:rsidRPr="00865B31">
          <w:rPr>
            <w:rStyle w:val="Hyperlink"/>
            <w:rFonts w:ascii="Arial" w:hAnsi="Arial"/>
            <w:color w:val="FFC000"/>
            <w:sz w:val="20"/>
            <w:szCs w:val="20"/>
          </w:rPr>
          <w:t>Poročilo</w:t>
        </w:r>
      </w:hyperlink>
    </w:p>
    <w:p w14:paraId="605CA26B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4E053DEE" w14:textId="45078F9B" w:rsidR="00865B31" w:rsidRDefault="00865B31" w:rsidP="00A24230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</w:p>
    <w:p w14:paraId="4E1D1888" w14:textId="1D6A9C55" w:rsidR="00E23C38" w:rsidRDefault="00E23C38" w:rsidP="00A24230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hAnsi="Arial"/>
          <w:b/>
          <w:bCs/>
          <w:noProof/>
          <w:color w:val="4472C4" w:themeColor="accent1"/>
          <w:sz w:val="20"/>
          <w:szCs w:val="20"/>
        </w:rPr>
        <w:drawing>
          <wp:inline distT="0" distB="0" distL="0" distR="0" wp14:anchorId="1DFC1D7B" wp14:editId="28629A85">
            <wp:extent cx="2551098" cy="1022350"/>
            <wp:effectExtent l="0" t="0" r="1905" b="635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977" cy="10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DD9A" w14:textId="5B32FC48" w:rsidR="00A24230" w:rsidRPr="003E633C" w:rsidRDefault="00A24230" w:rsidP="00A24230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Smernice EU za izvajanje pravil EU o proizvodih na notranjem trgu</w:t>
      </w:r>
    </w:p>
    <w:p w14:paraId="2D754B04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07CBABC7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 xml:space="preserve">Evropska komisija je objavila smernice za izvajanje pravil EU o proizvodih na notranjem trgu. Namen »modrega vodnika« je pojasniti pravila EU o proizvodih in olajšati njihovo enotno uporabo v vseh sektorjih na enotnem trgu. Priročnik med drugim vsebuje pojasnila in nasvete glede evropskega sistema ugotavljanja skladnosti, laboratorijske akreditacije, oznake CE in nadzora trga. </w:t>
      </w:r>
    </w:p>
    <w:p w14:paraId="2B89A42C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5A6BEC46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79540D6C" w14:textId="77777777" w:rsidR="00A24230" w:rsidRPr="00865B31" w:rsidRDefault="00A24230" w:rsidP="00A24230">
      <w:pPr>
        <w:jc w:val="both"/>
        <w:rPr>
          <w:rFonts w:ascii="Arial" w:hAnsi="Arial"/>
          <w:color w:val="FFC000"/>
          <w:sz w:val="20"/>
          <w:szCs w:val="20"/>
        </w:rPr>
      </w:pPr>
      <w:hyperlink r:id="rId23" w:history="1">
        <w:r w:rsidRPr="00865B31">
          <w:rPr>
            <w:rStyle w:val="Hyperlink"/>
            <w:rFonts w:ascii="Arial" w:hAnsi="Arial"/>
            <w:color w:val="FFC000"/>
            <w:sz w:val="20"/>
            <w:szCs w:val="20"/>
          </w:rPr>
          <w:t>Smernice</w:t>
        </w:r>
      </w:hyperlink>
    </w:p>
    <w:p w14:paraId="2893D9D4" w14:textId="3A25C341" w:rsidR="00A24230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55C06EC0" w14:textId="54A3AE33" w:rsidR="00865B31" w:rsidRDefault="00865B31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265EC11B" w14:textId="043DE218" w:rsidR="009B2683" w:rsidRPr="003E633C" w:rsidRDefault="009B2683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>
        <w:rPr>
          <w:rFonts w:ascii="Arial" w:hAnsi="Arial"/>
          <w:noProof/>
          <w:color w:val="4472C4" w:themeColor="accent1"/>
          <w:sz w:val="20"/>
          <w:szCs w:val="20"/>
        </w:rPr>
        <w:drawing>
          <wp:inline distT="0" distB="0" distL="0" distR="0" wp14:anchorId="551773E8" wp14:editId="2141D0BA">
            <wp:extent cx="2646170" cy="1060450"/>
            <wp:effectExtent l="0" t="0" r="1905" b="6350"/>
            <wp:docPr id="14" name="Picture 14" descr="A person riding a bike next to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riding a bike next to a sign&#10;&#10;Description automatically generated with medium confidenc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911" cy="10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85B94" w14:textId="77777777" w:rsidR="00A24230" w:rsidRPr="003E633C" w:rsidRDefault="00A24230" w:rsidP="00A24230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b/>
          <w:bCs/>
          <w:color w:val="1F3864" w:themeColor="accent1" w:themeShade="80"/>
          <w:sz w:val="20"/>
          <w:szCs w:val="20"/>
        </w:rPr>
        <w:t>Evropska komisija je objavila 186 zavez deležnikov na področju turizma</w:t>
      </w:r>
    </w:p>
    <w:p w14:paraId="007E1423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7FD72E3F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Evropska komisija je objavila 186 zavez deležnikov na področju turizma, v katerih so opredeljeni ukrepi za podporo okolju prijaznejšemu, bolj digitalnemu in odpornemu turističnemu sektorju v Evropi.</w:t>
      </w:r>
    </w:p>
    <w:p w14:paraId="7D16152E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53377979" w14:textId="77777777" w:rsidR="00A24230" w:rsidRPr="003E633C" w:rsidRDefault="00A24230" w:rsidP="00A24230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3E633C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123C093A" w14:textId="77777777" w:rsidR="00A24230" w:rsidRPr="00865B31" w:rsidRDefault="00A24230" w:rsidP="00A24230">
      <w:pPr>
        <w:jc w:val="both"/>
        <w:rPr>
          <w:rFonts w:ascii="Arial" w:hAnsi="Arial"/>
          <w:color w:val="FFC000"/>
          <w:sz w:val="20"/>
          <w:szCs w:val="20"/>
        </w:rPr>
      </w:pPr>
      <w:hyperlink r:id="rId25" w:history="1">
        <w:r w:rsidRPr="00865B31">
          <w:rPr>
            <w:rStyle w:val="Hyperlink"/>
            <w:rFonts w:ascii="Arial" w:hAnsi="Arial"/>
            <w:color w:val="FFC000"/>
            <w:sz w:val="20"/>
            <w:szCs w:val="20"/>
          </w:rPr>
          <w:t>Zaveze</w:t>
        </w:r>
      </w:hyperlink>
    </w:p>
    <w:p w14:paraId="1BF49EFF" w14:textId="485486DA" w:rsidR="00A24230" w:rsidRPr="003E633C" w:rsidRDefault="00A24230" w:rsidP="00970D17">
      <w:pPr>
        <w:jc w:val="both"/>
        <w:rPr>
          <w:rFonts w:ascii="Arial" w:hAnsi="Arial"/>
          <w:color w:val="1F3864" w:themeColor="accent1" w:themeShade="80"/>
          <w:sz w:val="20"/>
          <w:szCs w:val="20"/>
        </w:rPr>
        <w:sectPr w:rsidR="00A24230" w:rsidRPr="003E633C" w:rsidSect="00572478">
          <w:headerReference w:type="first" r:id="rId26"/>
          <w:pgSz w:w="11906" w:h="16838"/>
          <w:pgMar w:top="1134" w:right="1440" w:bottom="1276" w:left="1440" w:header="708" w:footer="708" w:gutter="0"/>
          <w:cols w:num="2" w:space="708"/>
          <w:titlePg/>
          <w:docGrid w:linePitch="360"/>
        </w:sectPr>
      </w:pPr>
    </w:p>
    <w:p w14:paraId="705B84FE" w14:textId="77777777" w:rsidR="00970D17" w:rsidRDefault="00970D17"/>
    <w:sectPr w:rsidR="00970D17" w:rsidSect="00970D1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C7C2" w14:textId="77777777" w:rsidR="00FB52E5" w:rsidRDefault="00FB52E5" w:rsidP="00603E26">
      <w:r>
        <w:separator/>
      </w:r>
    </w:p>
  </w:endnote>
  <w:endnote w:type="continuationSeparator" w:id="0">
    <w:p w14:paraId="487875BB" w14:textId="77777777" w:rsidR="00FB52E5" w:rsidRDefault="00FB52E5" w:rsidP="0060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5931" w14:textId="77777777" w:rsidR="00FB52E5" w:rsidRDefault="00FB52E5" w:rsidP="00603E26">
      <w:r>
        <w:separator/>
      </w:r>
    </w:p>
  </w:footnote>
  <w:footnote w:type="continuationSeparator" w:id="0">
    <w:p w14:paraId="58FB0601" w14:textId="77777777" w:rsidR="00FB52E5" w:rsidRDefault="00FB52E5" w:rsidP="0060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FC2A" w14:textId="066688E5" w:rsidR="00603E26" w:rsidRDefault="00603E26">
    <w:pPr>
      <w:pStyle w:val="Header"/>
    </w:pPr>
    <w:r>
      <w:rPr>
        <w:noProof/>
      </w:rPr>
      <w:drawing>
        <wp:inline distT="0" distB="0" distL="0" distR="0" wp14:anchorId="269E6999" wp14:editId="4881552D">
          <wp:extent cx="5731510" cy="2555875"/>
          <wp:effectExtent l="0" t="0" r="2540" b="0"/>
          <wp:docPr id="21" name="Picture 2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55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35"/>
    <w:rsid w:val="003E633C"/>
    <w:rsid w:val="00514635"/>
    <w:rsid w:val="00544B5F"/>
    <w:rsid w:val="00572478"/>
    <w:rsid w:val="00603E26"/>
    <w:rsid w:val="00775FAB"/>
    <w:rsid w:val="00865B31"/>
    <w:rsid w:val="00934518"/>
    <w:rsid w:val="00970D17"/>
    <w:rsid w:val="009B2683"/>
    <w:rsid w:val="00A24230"/>
    <w:rsid w:val="00AA4676"/>
    <w:rsid w:val="00AA7E39"/>
    <w:rsid w:val="00C15A4E"/>
    <w:rsid w:val="00C300BB"/>
    <w:rsid w:val="00C83BB1"/>
    <w:rsid w:val="00C915C1"/>
    <w:rsid w:val="00C93177"/>
    <w:rsid w:val="00CC559F"/>
    <w:rsid w:val="00D347F8"/>
    <w:rsid w:val="00E23C38"/>
    <w:rsid w:val="00F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BF937"/>
  <w15:chartTrackingRefBased/>
  <w15:docId w15:val="{81A4FCDE-0273-47D6-A6DB-5C097565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C1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sl-SI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5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E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03E26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03E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03E26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uria.europa.eu/juris/documents.jsf?oqp=&amp;for=&amp;mat=or&amp;lgrec=sl&amp;jge=&amp;td=%3BALL&amp;jur=C%2CT%2CF&amp;num=C-576%252F20&amp;page=1&amp;dates=&amp;pcs=Oor&amp;lg=&amp;pro=&amp;nat=or&amp;cit=none%252CC%252CCJ%252CR%252C2008E%252C%252C%252C%252C%252C%252C%252C%252C%252C%252Ctrue%252Cfalse%25" TargetMode="External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ec.europa.eu/taxation_customs/taxation-1/economic-analysis-taxation/annual-report-taxation_en" TargetMode="External"/><Relationship Id="rId7" Type="http://schemas.openxmlformats.org/officeDocument/2006/relationships/hyperlink" Target="https://www.eca.europa.eu/sl/Pages/DocItem.aspx?did=6146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ec.europa.eu/commission/presscorner/detail/sl/IP_22_4198" TargetMode="External"/><Relationship Id="rId25" Type="http://schemas.openxmlformats.org/officeDocument/2006/relationships/hyperlink" Target="https://ec.europa.eu/growth/sectors/tourism/tourism-transition-pathway/commitments_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olicy.trade.ec.europa.eu/eu-trade-relationships-country-and-region/countries-and-regions/new-zealand/eu-new-zealand-agreement_en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s://etendering.ted.europa.eu/cft/cft-display.html?cftId=11270" TargetMode="External"/><Relationship Id="rId23" Type="http://schemas.openxmlformats.org/officeDocument/2006/relationships/hyperlink" Target="https://ec.europa.eu/growth/single-market/goods/new-legislative-framework_en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ec.europa.eu/info/law/better-regulation/have-your-say/initiatives/13458-Drzavna-pomoc-izvzetja-za-majhne-zneske-pomoci-pomoc-de-minimis-posodobitev-_s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catId=738&amp;langId=sl&amp;pubId=8483&amp;furtherPubs=ye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19</cp:revision>
  <dcterms:created xsi:type="dcterms:W3CDTF">2022-07-20T10:05:00Z</dcterms:created>
  <dcterms:modified xsi:type="dcterms:W3CDTF">2022-07-20T13:39:00Z</dcterms:modified>
</cp:coreProperties>
</file>