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3FB0D6" w14:textId="5A51A3B2" w:rsidR="00C300BB" w:rsidRDefault="00CC559F" w:rsidP="00C915C1">
      <w:pPr>
        <w:jc w:val="both"/>
        <w:rPr>
          <w:rFonts w:ascii="Arial" w:hAnsi="Arial"/>
          <w:b/>
          <w:bCs/>
          <w:color w:val="1F3864" w:themeColor="accent1" w:themeShade="80"/>
          <w:sz w:val="20"/>
          <w:szCs w:val="20"/>
        </w:rPr>
      </w:pPr>
      <w:r>
        <w:rPr>
          <w:rFonts w:ascii="Arial" w:hAnsi="Arial"/>
          <w:b/>
          <w:bCs/>
          <w:noProof/>
          <w:color w:val="4472C4" w:themeColor="accent1"/>
          <w:sz w:val="20"/>
          <w:szCs w:val="20"/>
        </w:rPr>
        <w:drawing>
          <wp:inline distT="0" distB="0" distL="0" distR="0" wp14:anchorId="0901BABC" wp14:editId="076850B7">
            <wp:extent cx="2598634" cy="1041400"/>
            <wp:effectExtent l="0" t="0" r="0" b="635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0254" cy="10460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3682D6" w14:textId="0626600E" w:rsidR="00C915C1" w:rsidRPr="003E633C" w:rsidRDefault="00C915C1" w:rsidP="00C915C1">
      <w:pPr>
        <w:jc w:val="both"/>
        <w:rPr>
          <w:rFonts w:ascii="Arial" w:hAnsi="Arial"/>
          <w:b/>
          <w:bCs/>
          <w:color w:val="1F3864" w:themeColor="accent1" w:themeShade="80"/>
          <w:sz w:val="20"/>
          <w:szCs w:val="20"/>
        </w:rPr>
      </w:pPr>
      <w:r w:rsidRPr="003E633C">
        <w:rPr>
          <w:rFonts w:ascii="Arial" w:hAnsi="Arial"/>
          <w:b/>
          <w:bCs/>
          <w:color w:val="1F3864" w:themeColor="accent1" w:themeShade="80"/>
          <w:sz w:val="20"/>
          <w:szCs w:val="20"/>
        </w:rPr>
        <w:t>Revizijsko poročilo o najemanju zunanjih svetovalcev</w:t>
      </w:r>
    </w:p>
    <w:p w14:paraId="4A461EC3" w14:textId="77777777" w:rsidR="00C915C1" w:rsidRPr="003E633C" w:rsidRDefault="00C915C1" w:rsidP="00C915C1">
      <w:pPr>
        <w:jc w:val="both"/>
        <w:rPr>
          <w:rFonts w:ascii="Arial" w:hAnsi="Arial"/>
          <w:color w:val="1F3864" w:themeColor="accent1" w:themeShade="80"/>
          <w:sz w:val="20"/>
          <w:szCs w:val="20"/>
        </w:rPr>
      </w:pPr>
    </w:p>
    <w:p w14:paraId="7F170291" w14:textId="77777777" w:rsidR="00C915C1" w:rsidRPr="003E633C" w:rsidRDefault="00C915C1" w:rsidP="00C915C1">
      <w:pPr>
        <w:jc w:val="both"/>
        <w:rPr>
          <w:rFonts w:ascii="Arial" w:hAnsi="Arial"/>
          <w:color w:val="1F3864" w:themeColor="accent1" w:themeShade="80"/>
          <w:sz w:val="20"/>
          <w:szCs w:val="20"/>
        </w:rPr>
      </w:pPr>
      <w:r w:rsidRPr="003E633C">
        <w:rPr>
          <w:rFonts w:ascii="Arial" w:hAnsi="Arial"/>
          <w:color w:val="1F3864" w:themeColor="accent1" w:themeShade="80"/>
          <w:sz w:val="20"/>
          <w:szCs w:val="20"/>
        </w:rPr>
        <w:t>Evropska komisija ne najema in uporablja zunanjih svetovalcev tako, da bi bila zagotovljena stroškovna učinkovitost ali v celoti varovani njeni interesi, so ugotovili revizorji Evropskega računskega sodišča.</w:t>
      </w:r>
    </w:p>
    <w:p w14:paraId="30CA6BD0" w14:textId="77777777" w:rsidR="00C915C1" w:rsidRPr="003E633C" w:rsidRDefault="00C915C1" w:rsidP="00C915C1">
      <w:pPr>
        <w:jc w:val="both"/>
        <w:rPr>
          <w:rFonts w:ascii="Arial" w:hAnsi="Arial"/>
          <w:color w:val="1F3864" w:themeColor="accent1" w:themeShade="80"/>
          <w:sz w:val="20"/>
          <w:szCs w:val="20"/>
        </w:rPr>
      </w:pPr>
    </w:p>
    <w:p w14:paraId="6096DD35" w14:textId="77777777" w:rsidR="00C915C1" w:rsidRPr="003E633C" w:rsidRDefault="00C915C1" w:rsidP="00C915C1">
      <w:pPr>
        <w:jc w:val="both"/>
        <w:rPr>
          <w:rFonts w:ascii="Arial" w:hAnsi="Arial"/>
          <w:color w:val="1F3864" w:themeColor="accent1" w:themeShade="80"/>
          <w:sz w:val="20"/>
          <w:szCs w:val="20"/>
        </w:rPr>
      </w:pPr>
      <w:r w:rsidRPr="003E633C">
        <w:rPr>
          <w:rFonts w:ascii="Arial" w:hAnsi="Arial"/>
          <w:color w:val="1F3864" w:themeColor="accent1" w:themeShade="80"/>
          <w:sz w:val="20"/>
          <w:szCs w:val="20"/>
        </w:rPr>
        <w:t>Več:</w:t>
      </w:r>
    </w:p>
    <w:p w14:paraId="16B12182" w14:textId="77777777" w:rsidR="00C915C1" w:rsidRPr="003E633C" w:rsidRDefault="00C915C1" w:rsidP="00C915C1">
      <w:pPr>
        <w:jc w:val="both"/>
        <w:rPr>
          <w:rFonts w:ascii="Arial" w:hAnsi="Arial"/>
          <w:color w:val="FFC000"/>
          <w:sz w:val="20"/>
          <w:szCs w:val="20"/>
        </w:rPr>
      </w:pPr>
      <w:hyperlink r:id="rId7" w:history="1">
        <w:r w:rsidRPr="003E633C">
          <w:rPr>
            <w:rStyle w:val="Hyperlink"/>
            <w:rFonts w:ascii="Arial" w:hAnsi="Arial"/>
            <w:color w:val="FFC000"/>
            <w:sz w:val="20"/>
            <w:szCs w:val="20"/>
          </w:rPr>
          <w:t>Poročilo</w:t>
        </w:r>
      </w:hyperlink>
    </w:p>
    <w:p w14:paraId="104A2CB4" w14:textId="77777777" w:rsidR="00C915C1" w:rsidRPr="003E633C" w:rsidRDefault="00C915C1" w:rsidP="00C915C1">
      <w:pPr>
        <w:jc w:val="both"/>
        <w:rPr>
          <w:rFonts w:ascii="Arial" w:hAnsi="Arial"/>
          <w:color w:val="1F3864" w:themeColor="accent1" w:themeShade="80"/>
          <w:sz w:val="20"/>
          <w:szCs w:val="20"/>
        </w:rPr>
      </w:pPr>
    </w:p>
    <w:p w14:paraId="6F83B128" w14:textId="77777777" w:rsidR="00970D17" w:rsidRPr="003E633C" w:rsidRDefault="00970D17" w:rsidP="00C915C1">
      <w:pPr>
        <w:jc w:val="both"/>
        <w:rPr>
          <w:rFonts w:ascii="Arial" w:hAnsi="Arial"/>
          <w:color w:val="1F3864" w:themeColor="accent1" w:themeShade="80"/>
          <w:sz w:val="20"/>
          <w:szCs w:val="20"/>
        </w:rPr>
      </w:pPr>
    </w:p>
    <w:p w14:paraId="0B438788" w14:textId="4B454DFD" w:rsidR="00544B5F" w:rsidRDefault="00544B5F" w:rsidP="00C915C1">
      <w:pPr>
        <w:jc w:val="both"/>
        <w:rPr>
          <w:rFonts w:ascii="Arial" w:hAnsi="Arial"/>
          <w:b/>
          <w:bCs/>
          <w:color w:val="1F3864" w:themeColor="accent1" w:themeShade="80"/>
          <w:sz w:val="20"/>
          <w:szCs w:val="20"/>
        </w:rPr>
      </w:pPr>
      <w:r>
        <w:rPr>
          <w:rFonts w:ascii="Arial" w:hAnsi="Arial"/>
          <w:b/>
          <w:bCs/>
          <w:noProof/>
          <w:color w:val="4472C4" w:themeColor="accent1"/>
          <w:sz w:val="20"/>
          <w:szCs w:val="20"/>
        </w:rPr>
        <w:drawing>
          <wp:inline distT="0" distB="0" distL="0" distR="0" wp14:anchorId="3CCDBD46" wp14:editId="6B55F117">
            <wp:extent cx="2598634" cy="1041400"/>
            <wp:effectExtent l="0" t="0" r="0" b="6350"/>
            <wp:docPr id="6" name="Picture 6" descr="A picture containing text, green,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A picture containing text, green, sign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3614" cy="10433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A1A067" w14:textId="5DE091BA" w:rsidR="00C915C1" w:rsidRPr="003E633C" w:rsidRDefault="00C915C1" w:rsidP="00C915C1">
      <w:pPr>
        <w:jc w:val="both"/>
        <w:rPr>
          <w:rFonts w:ascii="Arial" w:hAnsi="Arial"/>
          <w:b/>
          <w:bCs/>
          <w:color w:val="1F3864" w:themeColor="accent1" w:themeShade="80"/>
          <w:sz w:val="20"/>
          <w:szCs w:val="20"/>
        </w:rPr>
      </w:pPr>
      <w:r w:rsidRPr="003E633C">
        <w:rPr>
          <w:rFonts w:ascii="Arial" w:hAnsi="Arial"/>
          <w:b/>
          <w:bCs/>
          <w:color w:val="1F3864" w:themeColor="accent1" w:themeShade="80"/>
          <w:sz w:val="20"/>
          <w:szCs w:val="20"/>
        </w:rPr>
        <w:t>Objavljen je pregled razvoja na področju zaposlovanja in socialnih zadev v Evropi 2022</w:t>
      </w:r>
    </w:p>
    <w:p w14:paraId="3B934CEF" w14:textId="77777777" w:rsidR="00C915C1" w:rsidRPr="003E633C" w:rsidRDefault="00C915C1" w:rsidP="00C915C1">
      <w:pPr>
        <w:jc w:val="both"/>
        <w:rPr>
          <w:rFonts w:ascii="Arial" w:hAnsi="Arial"/>
          <w:color w:val="1F3864" w:themeColor="accent1" w:themeShade="80"/>
          <w:sz w:val="20"/>
          <w:szCs w:val="20"/>
        </w:rPr>
      </w:pPr>
    </w:p>
    <w:p w14:paraId="1CFB4B89" w14:textId="77777777" w:rsidR="00C915C1" w:rsidRPr="003E633C" w:rsidRDefault="00C915C1" w:rsidP="00C915C1">
      <w:pPr>
        <w:jc w:val="both"/>
        <w:rPr>
          <w:rFonts w:ascii="Arial" w:hAnsi="Arial"/>
          <w:color w:val="1F3864" w:themeColor="accent1" w:themeShade="80"/>
          <w:sz w:val="20"/>
          <w:szCs w:val="20"/>
        </w:rPr>
      </w:pPr>
      <w:r w:rsidRPr="003E633C">
        <w:rPr>
          <w:rFonts w:ascii="Arial" w:hAnsi="Arial"/>
          <w:color w:val="1F3864" w:themeColor="accent1" w:themeShade="80"/>
          <w:sz w:val="20"/>
          <w:szCs w:val="20"/>
        </w:rPr>
        <w:t>Evropska komisija v pregledu razvoja na področju zaposlovanja in socialnih zadev v Evropi 2022 med drugim ugotavlja, da je izguba delovnih mest med gospodarsko krizo, ki jo je povzročila pandemija COVID-19, najbolj prizadela mlade. Prav tako se razmere na trgu dela zanje izboljšujejo počasneje kot pri drugih starostnih skupinah. Razloge je mogoče iskati v velikem deležu pogodb za določen čas in težavah pri iskanju prve zaposlitve po zaključku izobraževanja.</w:t>
      </w:r>
    </w:p>
    <w:p w14:paraId="6F8D9105" w14:textId="77777777" w:rsidR="00C915C1" w:rsidRPr="003E633C" w:rsidRDefault="00C915C1" w:rsidP="00C915C1">
      <w:pPr>
        <w:jc w:val="both"/>
        <w:rPr>
          <w:rFonts w:ascii="Arial" w:hAnsi="Arial"/>
          <w:color w:val="1F3864" w:themeColor="accent1" w:themeShade="80"/>
          <w:sz w:val="20"/>
          <w:szCs w:val="20"/>
        </w:rPr>
      </w:pPr>
    </w:p>
    <w:p w14:paraId="25016D3F" w14:textId="77777777" w:rsidR="00C915C1" w:rsidRPr="003E633C" w:rsidRDefault="00C915C1" w:rsidP="00C915C1">
      <w:pPr>
        <w:jc w:val="both"/>
        <w:rPr>
          <w:rFonts w:ascii="Arial" w:hAnsi="Arial"/>
          <w:color w:val="1F3864" w:themeColor="accent1" w:themeShade="80"/>
          <w:sz w:val="20"/>
          <w:szCs w:val="20"/>
        </w:rPr>
      </w:pPr>
      <w:r w:rsidRPr="003E633C">
        <w:rPr>
          <w:rFonts w:ascii="Arial" w:hAnsi="Arial"/>
          <w:color w:val="1F3864" w:themeColor="accent1" w:themeShade="80"/>
          <w:sz w:val="20"/>
          <w:szCs w:val="20"/>
        </w:rPr>
        <w:t>Več:</w:t>
      </w:r>
    </w:p>
    <w:p w14:paraId="42C8CA40" w14:textId="77777777" w:rsidR="00C915C1" w:rsidRPr="003E633C" w:rsidRDefault="00C915C1" w:rsidP="00C915C1">
      <w:pPr>
        <w:jc w:val="both"/>
        <w:rPr>
          <w:rFonts w:ascii="Arial" w:hAnsi="Arial"/>
          <w:color w:val="FFC000"/>
          <w:sz w:val="20"/>
          <w:szCs w:val="20"/>
        </w:rPr>
      </w:pPr>
      <w:hyperlink r:id="rId9" w:history="1">
        <w:r w:rsidRPr="003E633C">
          <w:rPr>
            <w:rStyle w:val="Hyperlink"/>
            <w:rFonts w:ascii="Arial" w:hAnsi="Arial"/>
            <w:color w:val="FFC000"/>
            <w:sz w:val="20"/>
            <w:szCs w:val="20"/>
          </w:rPr>
          <w:t>Pregled</w:t>
        </w:r>
      </w:hyperlink>
    </w:p>
    <w:p w14:paraId="6E1B9C4D" w14:textId="61A26DFB" w:rsidR="001E0747" w:rsidRPr="003E633C" w:rsidRDefault="00000000">
      <w:pPr>
        <w:rPr>
          <w:color w:val="1F3864" w:themeColor="accent1" w:themeShade="80"/>
        </w:rPr>
      </w:pPr>
    </w:p>
    <w:p w14:paraId="2F620F6D" w14:textId="7F66AA1C" w:rsidR="00970D17" w:rsidRPr="003E633C" w:rsidRDefault="00AA4676">
      <w:pPr>
        <w:rPr>
          <w:color w:val="1F3864" w:themeColor="accent1" w:themeShade="80"/>
        </w:rPr>
      </w:pPr>
      <w:r>
        <w:rPr>
          <w:noProof/>
          <w:color w:val="4472C4" w:themeColor="accent1"/>
        </w:rPr>
        <w:drawing>
          <wp:inline distT="0" distB="0" distL="0" distR="0" wp14:anchorId="2098E8C4" wp14:editId="2EECCFA8">
            <wp:extent cx="2630324" cy="105410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2555" cy="1059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2BBA18" w14:textId="77777777" w:rsidR="00970D17" w:rsidRPr="003E633C" w:rsidRDefault="00970D17" w:rsidP="00970D17">
      <w:pPr>
        <w:jc w:val="both"/>
        <w:rPr>
          <w:rFonts w:ascii="Arial" w:hAnsi="Arial"/>
          <w:b/>
          <w:bCs/>
          <w:color w:val="1F3864" w:themeColor="accent1" w:themeShade="80"/>
          <w:sz w:val="20"/>
          <w:szCs w:val="20"/>
        </w:rPr>
      </w:pPr>
      <w:r w:rsidRPr="003E633C">
        <w:rPr>
          <w:rFonts w:ascii="Arial" w:hAnsi="Arial"/>
          <w:b/>
          <w:bCs/>
          <w:color w:val="1F3864" w:themeColor="accent1" w:themeShade="80"/>
          <w:sz w:val="20"/>
          <w:szCs w:val="20"/>
        </w:rPr>
        <w:t>EU in Nova Zelandija sta zaključili pogajanja o trgovinskem sporazumu</w:t>
      </w:r>
    </w:p>
    <w:p w14:paraId="228F12A5" w14:textId="77777777" w:rsidR="00970D17" w:rsidRPr="003E633C" w:rsidRDefault="00970D17" w:rsidP="00970D17">
      <w:pPr>
        <w:jc w:val="both"/>
        <w:rPr>
          <w:rFonts w:ascii="Arial" w:hAnsi="Arial"/>
          <w:color w:val="1F3864" w:themeColor="accent1" w:themeShade="80"/>
          <w:sz w:val="20"/>
          <w:szCs w:val="20"/>
        </w:rPr>
      </w:pPr>
    </w:p>
    <w:p w14:paraId="65CB1B4E" w14:textId="77777777" w:rsidR="00970D17" w:rsidRPr="003E633C" w:rsidRDefault="00970D17" w:rsidP="00970D17">
      <w:pPr>
        <w:jc w:val="both"/>
        <w:rPr>
          <w:rFonts w:ascii="Arial" w:hAnsi="Arial"/>
          <w:color w:val="1F3864" w:themeColor="accent1" w:themeShade="80"/>
          <w:sz w:val="20"/>
          <w:szCs w:val="20"/>
        </w:rPr>
      </w:pPr>
      <w:r w:rsidRPr="003E633C">
        <w:rPr>
          <w:rFonts w:ascii="Arial" w:hAnsi="Arial"/>
          <w:color w:val="1F3864" w:themeColor="accent1" w:themeShade="80"/>
          <w:sz w:val="20"/>
          <w:szCs w:val="20"/>
        </w:rPr>
        <w:t>EU in Nova Zelandija sta zaključili pogajanja o trgovinskem sporazumu. To je prvi trgovinski sporazum EU, ki vsebuje posebno poglavje o trajnostnih prehranskih sistemih, posebni člen o trgovini in enakosti spolov ter posebno določbo o trgovini in reformi subvencij za fosilna goriva. Ko bo sporazum začel veljati, bo liberaliziral tudi zelene dobrine in storitve.</w:t>
      </w:r>
    </w:p>
    <w:p w14:paraId="3BE37799" w14:textId="77777777" w:rsidR="00970D17" w:rsidRPr="003E633C" w:rsidRDefault="00970D17" w:rsidP="00970D17">
      <w:pPr>
        <w:jc w:val="both"/>
        <w:rPr>
          <w:rFonts w:ascii="Arial" w:hAnsi="Arial"/>
          <w:color w:val="1F3864" w:themeColor="accent1" w:themeShade="80"/>
          <w:sz w:val="20"/>
          <w:szCs w:val="20"/>
        </w:rPr>
      </w:pPr>
    </w:p>
    <w:p w14:paraId="206FF084" w14:textId="77777777" w:rsidR="00970D17" w:rsidRPr="003E633C" w:rsidRDefault="00970D17" w:rsidP="00970D17">
      <w:pPr>
        <w:jc w:val="both"/>
        <w:rPr>
          <w:rFonts w:ascii="Arial" w:hAnsi="Arial"/>
          <w:color w:val="1F3864" w:themeColor="accent1" w:themeShade="80"/>
          <w:sz w:val="20"/>
          <w:szCs w:val="20"/>
        </w:rPr>
      </w:pPr>
      <w:r w:rsidRPr="003E633C">
        <w:rPr>
          <w:rFonts w:ascii="Arial" w:hAnsi="Arial"/>
          <w:color w:val="1F3864" w:themeColor="accent1" w:themeShade="80"/>
          <w:sz w:val="20"/>
          <w:szCs w:val="20"/>
        </w:rPr>
        <w:t>Več:</w:t>
      </w:r>
    </w:p>
    <w:p w14:paraId="016AB9D2" w14:textId="77777777" w:rsidR="00970D17" w:rsidRPr="00865B31" w:rsidRDefault="00970D17" w:rsidP="00970D17">
      <w:pPr>
        <w:jc w:val="both"/>
        <w:rPr>
          <w:rFonts w:ascii="Arial" w:hAnsi="Arial"/>
          <w:color w:val="FFC000"/>
          <w:sz w:val="20"/>
          <w:szCs w:val="20"/>
        </w:rPr>
      </w:pPr>
      <w:hyperlink r:id="rId11" w:history="1">
        <w:r w:rsidRPr="00865B31">
          <w:rPr>
            <w:rStyle w:val="Hyperlink"/>
            <w:rFonts w:ascii="Arial" w:hAnsi="Arial"/>
            <w:color w:val="FFC000"/>
            <w:sz w:val="20"/>
            <w:szCs w:val="20"/>
          </w:rPr>
          <w:t>Spletna stran z informacijami o sporazumu</w:t>
        </w:r>
      </w:hyperlink>
    </w:p>
    <w:p w14:paraId="0FEE4076" w14:textId="707C59AA" w:rsidR="00970D17" w:rsidRDefault="00970D17">
      <w:pPr>
        <w:rPr>
          <w:color w:val="1F3864" w:themeColor="accent1" w:themeShade="80"/>
        </w:rPr>
      </w:pPr>
    </w:p>
    <w:p w14:paraId="6D88BDA6" w14:textId="77777777" w:rsidR="00C83BB1" w:rsidRPr="003E633C" w:rsidRDefault="00C83BB1">
      <w:pPr>
        <w:rPr>
          <w:color w:val="1F3864" w:themeColor="accent1" w:themeShade="80"/>
        </w:rPr>
      </w:pPr>
    </w:p>
    <w:p w14:paraId="44F1EB3D" w14:textId="7F809A9C" w:rsidR="00970D17" w:rsidRPr="003E633C" w:rsidRDefault="00AA4676">
      <w:pPr>
        <w:rPr>
          <w:color w:val="1F3864" w:themeColor="accent1" w:themeShade="80"/>
        </w:rPr>
      </w:pPr>
      <w:r>
        <w:rPr>
          <w:noProof/>
          <w:color w:val="4472C4" w:themeColor="accent1"/>
        </w:rPr>
        <w:drawing>
          <wp:inline distT="0" distB="0" distL="0" distR="0" wp14:anchorId="03B85EF1" wp14:editId="6E4CB7B4">
            <wp:extent cx="2646170" cy="1060450"/>
            <wp:effectExtent l="0" t="0" r="1905" b="6350"/>
            <wp:docPr id="8" name="Picture 8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Text&#10;&#10;Description automatically generated with medium confidence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0282" cy="1062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283F4B" w14:textId="77777777" w:rsidR="00970D17" w:rsidRPr="003E633C" w:rsidRDefault="00970D17" w:rsidP="00970D17">
      <w:pPr>
        <w:jc w:val="both"/>
        <w:rPr>
          <w:rFonts w:ascii="Arial" w:hAnsi="Arial"/>
          <w:b/>
          <w:bCs/>
          <w:color w:val="1F3864" w:themeColor="accent1" w:themeShade="80"/>
          <w:sz w:val="20"/>
          <w:szCs w:val="20"/>
        </w:rPr>
      </w:pPr>
      <w:r w:rsidRPr="003E633C">
        <w:rPr>
          <w:rFonts w:ascii="Arial" w:hAnsi="Arial"/>
          <w:b/>
          <w:bCs/>
          <w:color w:val="1F3864" w:themeColor="accent1" w:themeShade="80"/>
          <w:sz w:val="20"/>
          <w:szCs w:val="20"/>
        </w:rPr>
        <w:t>Sodba o upoštevanju dobe za vzgojo otrok pri izračunu starostne pokojnine</w:t>
      </w:r>
    </w:p>
    <w:p w14:paraId="1410E003" w14:textId="77777777" w:rsidR="00970D17" w:rsidRPr="003E633C" w:rsidRDefault="00970D17" w:rsidP="00970D17">
      <w:pPr>
        <w:jc w:val="both"/>
        <w:rPr>
          <w:rFonts w:ascii="Arial" w:hAnsi="Arial"/>
          <w:color w:val="1F3864" w:themeColor="accent1" w:themeShade="80"/>
          <w:sz w:val="20"/>
          <w:szCs w:val="20"/>
        </w:rPr>
      </w:pPr>
    </w:p>
    <w:p w14:paraId="666E9CAB" w14:textId="77777777" w:rsidR="00970D17" w:rsidRPr="003E633C" w:rsidRDefault="00970D17" w:rsidP="00970D17">
      <w:pPr>
        <w:jc w:val="both"/>
        <w:rPr>
          <w:rFonts w:ascii="Arial" w:hAnsi="Arial"/>
          <w:color w:val="1F3864" w:themeColor="accent1" w:themeShade="80"/>
          <w:sz w:val="20"/>
          <w:szCs w:val="20"/>
        </w:rPr>
      </w:pPr>
      <w:r w:rsidRPr="003E633C">
        <w:rPr>
          <w:rFonts w:ascii="Arial" w:hAnsi="Arial"/>
          <w:color w:val="1F3864" w:themeColor="accent1" w:themeShade="80"/>
          <w:sz w:val="20"/>
          <w:szCs w:val="20"/>
        </w:rPr>
        <w:t>Pri izračunu starostne pokojnine je treba upoštevati dobo za vzgojo otrok, dopolnjeno v drugih državah članicah, je presodilo Sodišče EU.</w:t>
      </w:r>
    </w:p>
    <w:p w14:paraId="3C7D3432" w14:textId="77777777" w:rsidR="00970D17" w:rsidRPr="003E633C" w:rsidRDefault="00970D17" w:rsidP="00970D17">
      <w:pPr>
        <w:jc w:val="both"/>
        <w:rPr>
          <w:rFonts w:ascii="Arial" w:hAnsi="Arial"/>
          <w:color w:val="1F3864" w:themeColor="accent1" w:themeShade="80"/>
          <w:sz w:val="20"/>
          <w:szCs w:val="20"/>
        </w:rPr>
      </w:pPr>
    </w:p>
    <w:p w14:paraId="2A484778" w14:textId="77777777" w:rsidR="00970D17" w:rsidRPr="003E633C" w:rsidRDefault="00970D17" w:rsidP="00970D17">
      <w:pPr>
        <w:jc w:val="both"/>
        <w:rPr>
          <w:rFonts w:ascii="Arial" w:hAnsi="Arial"/>
          <w:color w:val="1F3864" w:themeColor="accent1" w:themeShade="80"/>
          <w:sz w:val="20"/>
          <w:szCs w:val="20"/>
        </w:rPr>
      </w:pPr>
      <w:r w:rsidRPr="003E633C">
        <w:rPr>
          <w:rFonts w:ascii="Arial" w:hAnsi="Arial"/>
          <w:color w:val="1F3864" w:themeColor="accent1" w:themeShade="80"/>
          <w:sz w:val="20"/>
          <w:szCs w:val="20"/>
        </w:rPr>
        <w:t>Več:</w:t>
      </w:r>
    </w:p>
    <w:p w14:paraId="31EA9040" w14:textId="77777777" w:rsidR="00970D17" w:rsidRPr="00865B31" w:rsidRDefault="00970D17" w:rsidP="00970D17">
      <w:pPr>
        <w:jc w:val="both"/>
        <w:rPr>
          <w:rFonts w:ascii="Arial" w:hAnsi="Arial"/>
          <w:color w:val="FFC000"/>
          <w:sz w:val="20"/>
          <w:szCs w:val="20"/>
        </w:rPr>
      </w:pPr>
      <w:hyperlink r:id="rId13" w:history="1">
        <w:r w:rsidRPr="00865B31">
          <w:rPr>
            <w:rStyle w:val="Hyperlink"/>
            <w:rFonts w:ascii="Arial" w:hAnsi="Arial"/>
            <w:color w:val="FFC000"/>
            <w:sz w:val="20"/>
            <w:szCs w:val="20"/>
          </w:rPr>
          <w:t>Sodba</w:t>
        </w:r>
      </w:hyperlink>
    </w:p>
    <w:p w14:paraId="45994CE8" w14:textId="57F8F8FE" w:rsidR="00970D17" w:rsidRPr="003E633C" w:rsidRDefault="00970D17">
      <w:pPr>
        <w:rPr>
          <w:color w:val="1F3864" w:themeColor="accent1" w:themeShade="80"/>
        </w:rPr>
      </w:pPr>
    </w:p>
    <w:p w14:paraId="057510F4" w14:textId="77180A99" w:rsidR="00970D17" w:rsidRPr="003E633C" w:rsidRDefault="00970D17">
      <w:pPr>
        <w:rPr>
          <w:color w:val="1F3864" w:themeColor="accent1" w:themeShade="80"/>
        </w:rPr>
      </w:pPr>
    </w:p>
    <w:p w14:paraId="752E532F" w14:textId="77777777" w:rsidR="00C83BB1" w:rsidRDefault="00C83BB1" w:rsidP="00970D17">
      <w:pPr>
        <w:jc w:val="both"/>
        <w:rPr>
          <w:rFonts w:ascii="Arial" w:hAnsi="Arial"/>
          <w:b/>
          <w:bCs/>
          <w:color w:val="1F3864" w:themeColor="accent1" w:themeShade="80"/>
          <w:sz w:val="20"/>
          <w:szCs w:val="20"/>
        </w:rPr>
      </w:pPr>
    </w:p>
    <w:p w14:paraId="0209F665" w14:textId="0B0F71E8" w:rsidR="00970D17" w:rsidRPr="003E633C" w:rsidRDefault="00C83BB1" w:rsidP="00970D17">
      <w:pPr>
        <w:jc w:val="both"/>
        <w:rPr>
          <w:rFonts w:ascii="Arial" w:hAnsi="Arial"/>
          <w:b/>
          <w:bCs/>
          <w:color w:val="1F3864" w:themeColor="accent1" w:themeShade="80"/>
          <w:sz w:val="20"/>
          <w:szCs w:val="20"/>
        </w:rPr>
      </w:pPr>
      <w:r>
        <w:rPr>
          <w:rFonts w:ascii="Arial" w:hAnsi="Arial"/>
          <w:b/>
          <w:bCs/>
          <w:noProof/>
          <w:color w:val="4472C4" w:themeColor="accent1"/>
          <w:sz w:val="20"/>
          <w:szCs w:val="20"/>
        </w:rPr>
        <w:lastRenderedPageBreak/>
        <w:drawing>
          <wp:inline distT="0" distB="0" distL="0" distR="0" wp14:anchorId="6A919504" wp14:editId="134922F4">
            <wp:extent cx="2646170" cy="1060450"/>
            <wp:effectExtent l="0" t="0" r="1905" b="6350"/>
            <wp:docPr id="9" name="Picture 9" descr="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Chart&#10;&#10;Description automatically generated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9415" cy="1061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70D17" w:rsidRPr="003E633C">
        <w:rPr>
          <w:rFonts w:ascii="Arial" w:hAnsi="Arial"/>
          <w:b/>
          <w:bCs/>
          <w:color w:val="1F3864" w:themeColor="accent1" w:themeShade="80"/>
          <w:sz w:val="20"/>
          <w:szCs w:val="20"/>
        </w:rPr>
        <w:t>Javni razpis za podporo izvajanju direktive EU o zajemanju in shranjevanju ogljika</w:t>
      </w:r>
    </w:p>
    <w:p w14:paraId="533E2661" w14:textId="77777777" w:rsidR="00970D17" w:rsidRPr="003E633C" w:rsidRDefault="00970D17" w:rsidP="00970D17">
      <w:pPr>
        <w:jc w:val="both"/>
        <w:rPr>
          <w:rFonts w:ascii="Arial" w:hAnsi="Arial"/>
          <w:color w:val="1F3864" w:themeColor="accent1" w:themeShade="80"/>
          <w:sz w:val="20"/>
          <w:szCs w:val="20"/>
        </w:rPr>
      </w:pPr>
    </w:p>
    <w:p w14:paraId="12533F18" w14:textId="22555601" w:rsidR="00970D17" w:rsidRPr="003E633C" w:rsidRDefault="00970D17" w:rsidP="00970D17">
      <w:pPr>
        <w:jc w:val="both"/>
        <w:rPr>
          <w:rFonts w:ascii="Arial" w:hAnsi="Arial"/>
          <w:color w:val="1F3864" w:themeColor="accent1" w:themeShade="80"/>
          <w:sz w:val="20"/>
          <w:szCs w:val="20"/>
        </w:rPr>
      </w:pPr>
      <w:r w:rsidRPr="003E633C">
        <w:rPr>
          <w:rFonts w:ascii="Arial" w:hAnsi="Arial"/>
          <w:color w:val="1F3864" w:themeColor="accent1" w:themeShade="80"/>
          <w:sz w:val="20"/>
          <w:szCs w:val="20"/>
        </w:rPr>
        <w:t xml:space="preserve">Evropska komisija je objavila javni razpis za podporo izvajanju direktive EU o zajemanju in shranjevanju ogljika. Rok za oddajo prijav se izteče 29. avgusta. </w:t>
      </w:r>
    </w:p>
    <w:p w14:paraId="1EA83CC2" w14:textId="77777777" w:rsidR="00970D17" w:rsidRPr="003E633C" w:rsidRDefault="00970D17" w:rsidP="00970D17">
      <w:pPr>
        <w:jc w:val="both"/>
        <w:rPr>
          <w:rFonts w:ascii="Arial" w:hAnsi="Arial"/>
          <w:color w:val="1F3864" w:themeColor="accent1" w:themeShade="80"/>
          <w:sz w:val="20"/>
          <w:szCs w:val="20"/>
        </w:rPr>
      </w:pPr>
    </w:p>
    <w:p w14:paraId="372FAB6E" w14:textId="77777777" w:rsidR="00970D17" w:rsidRPr="003E633C" w:rsidRDefault="00970D17" w:rsidP="00970D17">
      <w:pPr>
        <w:jc w:val="both"/>
        <w:rPr>
          <w:rFonts w:ascii="Arial" w:hAnsi="Arial"/>
          <w:color w:val="1F3864" w:themeColor="accent1" w:themeShade="80"/>
          <w:sz w:val="20"/>
          <w:szCs w:val="20"/>
        </w:rPr>
      </w:pPr>
      <w:r w:rsidRPr="003E633C">
        <w:rPr>
          <w:rFonts w:ascii="Arial" w:hAnsi="Arial"/>
          <w:color w:val="1F3864" w:themeColor="accent1" w:themeShade="80"/>
          <w:sz w:val="20"/>
          <w:szCs w:val="20"/>
        </w:rPr>
        <w:t>Več:</w:t>
      </w:r>
    </w:p>
    <w:p w14:paraId="3AD06358" w14:textId="1A90F8C6" w:rsidR="00970D17" w:rsidRPr="00865B31" w:rsidRDefault="00970D17" w:rsidP="00970D17">
      <w:pPr>
        <w:jc w:val="both"/>
        <w:rPr>
          <w:rStyle w:val="Hyperlink"/>
          <w:rFonts w:ascii="Arial" w:hAnsi="Arial"/>
          <w:color w:val="FFC000"/>
          <w:sz w:val="20"/>
          <w:szCs w:val="20"/>
        </w:rPr>
      </w:pPr>
      <w:hyperlink r:id="rId15" w:history="1">
        <w:r w:rsidRPr="00865B31">
          <w:rPr>
            <w:rStyle w:val="Hyperlink"/>
            <w:rFonts w:ascii="Arial" w:hAnsi="Arial"/>
            <w:color w:val="FFC000"/>
            <w:sz w:val="20"/>
            <w:szCs w:val="20"/>
          </w:rPr>
          <w:t>Razpis</w:t>
        </w:r>
      </w:hyperlink>
    </w:p>
    <w:p w14:paraId="46A4899D" w14:textId="31402307" w:rsidR="00970D17" w:rsidRPr="003E633C" w:rsidRDefault="00970D17" w:rsidP="00970D17">
      <w:pPr>
        <w:jc w:val="both"/>
        <w:rPr>
          <w:rStyle w:val="Hyperlink"/>
          <w:rFonts w:ascii="Arial" w:hAnsi="Arial"/>
          <w:color w:val="1F3864" w:themeColor="accent1" w:themeShade="80"/>
          <w:sz w:val="20"/>
          <w:szCs w:val="20"/>
        </w:rPr>
      </w:pPr>
    </w:p>
    <w:p w14:paraId="048C98F7" w14:textId="33AC94FA" w:rsidR="00970D17" w:rsidRDefault="00970D17" w:rsidP="00970D17">
      <w:pPr>
        <w:jc w:val="both"/>
        <w:rPr>
          <w:rStyle w:val="Hyperlink"/>
          <w:rFonts w:ascii="Arial" w:hAnsi="Arial"/>
          <w:color w:val="1F3864" w:themeColor="accent1" w:themeShade="80"/>
          <w:sz w:val="20"/>
          <w:szCs w:val="20"/>
        </w:rPr>
      </w:pPr>
    </w:p>
    <w:p w14:paraId="7EDC11CF" w14:textId="4484D2B8" w:rsidR="00C15A4E" w:rsidRPr="003E633C" w:rsidRDefault="00C15A4E" w:rsidP="00970D17">
      <w:pPr>
        <w:jc w:val="both"/>
        <w:rPr>
          <w:rStyle w:val="Hyperlink"/>
          <w:rFonts w:ascii="Arial" w:hAnsi="Arial"/>
          <w:color w:val="1F3864" w:themeColor="accent1" w:themeShade="80"/>
          <w:sz w:val="20"/>
          <w:szCs w:val="20"/>
        </w:rPr>
      </w:pPr>
      <w:r w:rsidRPr="00934518">
        <w:rPr>
          <w:rFonts w:ascii="Arial" w:hAnsi="Arial"/>
          <w:noProof/>
          <w:color w:val="4472C4" w:themeColor="accent1"/>
          <w:sz w:val="20"/>
          <w:szCs w:val="20"/>
        </w:rPr>
        <w:drawing>
          <wp:inline distT="0" distB="0" distL="0" distR="0" wp14:anchorId="3694C332" wp14:editId="1EF96DD5">
            <wp:extent cx="2598634" cy="1041400"/>
            <wp:effectExtent l="0" t="0" r="0" b="6350"/>
            <wp:docPr id="10" name="Picture 10" descr="A picture containing text, electronics, person, displa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picture containing text, electronics, person, display&#10;&#10;Description automatically generated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5328" cy="10440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10628D" w14:textId="77777777" w:rsidR="00970D17" w:rsidRPr="003E633C" w:rsidRDefault="00970D17" w:rsidP="00970D17">
      <w:pPr>
        <w:jc w:val="both"/>
        <w:rPr>
          <w:rFonts w:ascii="Arial" w:hAnsi="Arial"/>
          <w:b/>
          <w:bCs/>
          <w:color w:val="1F3864" w:themeColor="accent1" w:themeShade="80"/>
          <w:sz w:val="20"/>
          <w:szCs w:val="20"/>
        </w:rPr>
      </w:pPr>
      <w:r w:rsidRPr="003E633C">
        <w:rPr>
          <w:rFonts w:ascii="Arial" w:hAnsi="Arial"/>
          <w:b/>
          <w:bCs/>
          <w:color w:val="1F3864" w:themeColor="accent1" w:themeShade="80"/>
          <w:sz w:val="20"/>
          <w:szCs w:val="20"/>
        </w:rPr>
        <w:t>S prvim julijem je začela veljati nova uredba o gostovanju</w:t>
      </w:r>
    </w:p>
    <w:p w14:paraId="70A196EF" w14:textId="77777777" w:rsidR="00970D17" w:rsidRPr="003E633C" w:rsidRDefault="00970D17" w:rsidP="00970D17">
      <w:pPr>
        <w:jc w:val="both"/>
        <w:rPr>
          <w:rFonts w:ascii="Arial" w:hAnsi="Arial"/>
          <w:color w:val="1F3864" w:themeColor="accent1" w:themeShade="80"/>
          <w:sz w:val="20"/>
          <w:szCs w:val="20"/>
        </w:rPr>
      </w:pPr>
    </w:p>
    <w:p w14:paraId="02283541" w14:textId="77777777" w:rsidR="00970D17" w:rsidRPr="003E633C" w:rsidRDefault="00970D17" w:rsidP="00970D17">
      <w:pPr>
        <w:jc w:val="both"/>
        <w:rPr>
          <w:rFonts w:ascii="Arial" w:hAnsi="Arial"/>
          <w:color w:val="1F3864" w:themeColor="accent1" w:themeShade="80"/>
          <w:sz w:val="20"/>
          <w:szCs w:val="20"/>
        </w:rPr>
      </w:pPr>
      <w:r w:rsidRPr="003E633C">
        <w:rPr>
          <w:rFonts w:ascii="Arial" w:hAnsi="Arial"/>
          <w:color w:val="1F3864" w:themeColor="accent1" w:themeShade="80"/>
          <w:sz w:val="20"/>
          <w:szCs w:val="20"/>
        </w:rPr>
        <w:t>S prvim julijem je stopila v veljavo nova uredba o gostovanju, ki shemo Gostovanje kot doma, ki popotnikom v EU in evropskem gospodarskem prostoru omogoča klice, pisanje sporočil in brskanje po spletu v tujini brez dodatnih stroškov, podaljšuje do leta 2032.</w:t>
      </w:r>
    </w:p>
    <w:p w14:paraId="5B8FBDC7" w14:textId="77777777" w:rsidR="00970D17" w:rsidRPr="003E633C" w:rsidRDefault="00970D17" w:rsidP="00970D17">
      <w:pPr>
        <w:jc w:val="both"/>
        <w:rPr>
          <w:rFonts w:ascii="Arial" w:hAnsi="Arial"/>
          <w:color w:val="1F3864" w:themeColor="accent1" w:themeShade="80"/>
          <w:sz w:val="20"/>
          <w:szCs w:val="20"/>
        </w:rPr>
      </w:pPr>
    </w:p>
    <w:p w14:paraId="347059DB" w14:textId="77777777" w:rsidR="00970D17" w:rsidRPr="003E633C" w:rsidRDefault="00970D17" w:rsidP="00970D17">
      <w:pPr>
        <w:jc w:val="both"/>
        <w:rPr>
          <w:rFonts w:ascii="Arial" w:hAnsi="Arial"/>
          <w:color w:val="1F3864" w:themeColor="accent1" w:themeShade="80"/>
          <w:sz w:val="20"/>
          <w:szCs w:val="20"/>
        </w:rPr>
      </w:pPr>
      <w:r w:rsidRPr="003E633C">
        <w:rPr>
          <w:rFonts w:ascii="Arial" w:hAnsi="Arial"/>
          <w:color w:val="1F3864" w:themeColor="accent1" w:themeShade="80"/>
          <w:sz w:val="20"/>
          <w:szCs w:val="20"/>
        </w:rPr>
        <w:t>Več:</w:t>
      </w:r>
    </w:p>
    <w:p w14:paraId="5533F9E1" w14:textId="77777777" w:rsidR="00970D17" w:rsidRPr="00865B31" w:rsidRDefault="00970D17" w:rsidP="00970D17">
      <w:pPr>
        <w:jc w:val="both"/>
        <w:rPr>
          <w:rFonts w:ascii="Arial" w:hAnsi="Arial"/>
          <w:color w:val="FFC000"/>
          <w:sz w:val="20"/>
          <w:szCs w:val="20"/>
        </w:rPr>
      </w:pPr>
      <w:hyperlink r:id="rId17" w:history="1">
        <w:r w:rsidRPr="00865B31">
          <w:rPr>
            <w:rStyle w:val="Hyperlink"/>
            <w:rFonts w:ascii="Arial" w:hAnsi="Arial"/>
            <w:color w:val="FFC000"/>
            <w:sz w:val="20"/>
            <w:szCs w:val="20"/>
          </w:rPr>
          <w:t>Sporočilo Evropske komisije</w:t>
        </w:r>
      </w:hyperlink>
    </w:p>
    <w:p w14:paraId="19E3843B" w14:textId="77777777" w:rsidR="00970D17" w:rsidRPr="003E633C" w:rsidRDefault="00970D17" w:rsidP="00970D17">
      <w:pPr>
        <w:jc w:val="both"/>
        <w:rPr>
          <w:rFonts w:ascii="Arial" w:hAnsi="Arial"/>
          <w:color w:val="1F3864" w:themeColor="accent1" w:themeShade="80"/>
          <w:sz w:val="20"/>
          <w:szCs w:val="20"/>
        </w:rPr>
      </w:pPr>
    </w:p>
    <w:p w14:paraId="6DC6349B" w14:textId="786E5335" w:rsidR="00A24230" w:rsidRDefault="00A24230" w:rsidP="00970D17">
      <w:pPr>
        <w:jc w:val="both"/>
        <w:rPr>
          <w:rFonts w:ascii="Arial" w:hAnsi="Arial"/>
          <w:color w:val="1F3864" w:themeColor="accent1" w:themeShade="80"/>
          <w:sz w:val="20"/>
          <w:szCs w:val="20"/>
        </w:rPr>
      </w:pPr>
    </w:p>
    <w:p w14:paraId="3B7B056D" w14:textId="08F9F162" w:rsidR="00934518" w:rsidRPr="003E633C" w:rsidRDefault="00934518" w:rsidP="00970D17">
      <w:pPr>
        <w:jc w:val="both"/>
        <w:rPr>
          <w:rFonts w:ascii="Arial" w:hAnsi="Arial"/>
          <w:color w:val="1F3864" w:themeColor="accent1" w:themeShade="80"/>
          <w:sz w:val="20"/>
          <w:szCs w:val="20"/>
        </w:rPr>
      </w:pPr>
      <w:r>
        <w:rPr>
          <w:rFonts w:ascii="Arial" w:hAnsi="Arial"/>
          <w:noProof/>
          <w:color w:val="4472C4" w:themeColor="accent1"/>
          <w:sz w:val="20"/>
          <w:szCs w:val="20"/>
        </w:rPr>
        <w:drawing>
          <wp:inline distT="0" distB="0" distL="0" distR="0" wp14:anchorId="77ADF445" wp14:editId="3FDC0307">
            <wp:extent cx="2598634" cy="1041400"/>
            <wp:effectExtent l="0" t="0" r="0" b="6350"/>
            <wp:docPr id="11" name="Picture 11" descr="A picture containing 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A picture containing shape&#10;&#10;Description automatically generated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6328" cy="10444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DD0F39" w14:textId="77777777" w:rsidR="00A24230" w:rsidRPr="003E633C" w:rsidRDefault="00A24230" w:rsidP="00A24230">
      <w:pPr>
        <w:jc w:val="both"/>
        <w:rPr>
          <w:rFonts w:ascii="Arial" w:hAnsi="Arial"/>
          <w:b/>
          <w:bCs/>
          <w:color w:val="1F3864" w:themeColor="accent1" w:themeShade="80"/>
          <w:sz w:val="20"/>
          <w:szCs w:val="20"/>
        </w:rPr>
      </w:pPr>
      <w:r w:rsidRPr="003E633C">
        <w:rPr>
          <w:rFonts w:ascii="Arial" w:hAnsi="Arial"/>
          <w:b/>
          <w:bCs/>
          <w:color w:val="1F3864" w:themeColor="accent1" w:themeShade="80"/>
          <w:sz w:val="20"/>
          <w:szCs w:val="20"/>
        </w:rPr>
        <w:t xml:space="preserve">Evropska komisija zbira mnenja o posodobitvah uredbe de </w:t>
      </w:r>
      <w:proofErr w:type="spellStart"/>
      <w:r w:rsidRPr="003E633C">
        <w:rPr>
          <w:rFonts w:ascii="Arial" w:hAnsi="Arial"/>
          <w:b/>
          <w:bCs/>
          <w:color w:val="1F3864" w:themeColor="accent1" w:themeShade="80"/>
          <w:sz w:val="20"/>
          <w:szCs w:val="20"/>
        </w:rPr>
        <w:t>minimis</w:t>
      </w:r>
      <w:proofErr w:type="spellEnd"/>
    </w:p>
    <w:p w14:paraId="269DF3B9" w14:textId="77777777" w:rsidR="00A24230" w:rsidRPr="003E633C" w:rsidRDefault="00A24230" w:rsidP="00A24230">
      <w:pPr>
        <w:jc w:val="both"/>
        <w:rPr>
          <w:rFonts w:ascii="Arial" w:hAnsi="Arial"/>
          <w:color w:val="1F3864" w:themeColor="accent1" w:themeShade="80"/>
          <w:sz w:val="20"/>
          <w:szCs w:val="20"/>
        </w:rPr>
      </w:pPr>
    </w:p>
    <w:p w14:paraId="149BB6E8" w14:textId="77777777" w:rsidR="00A24230" w:rsidRPr="003E633C" w:rsidRDefault="00A24230" w:rsidP="00A24230">
      <w:pPr>
        <w:jc w:val="both"/>
        <w:rPr>
          <w:rFonts w:ascii="Arial" w:hAnsi="Arial"/>
          <w:color w:val="1F3864" w:themeColor="accent1" w:themeShade="80"/>
          <w:sz w:val="20"/>
          <w:szCs w:val="20"/>
        </w:rPr>
      </w:pPr>
      <w:r w:rsidRPr="003E633C">
        <w:rPr>
          <w:rFonts w:ascii="Arial" w:hAnsi="Arial"/>
          <w:color w:val="1F3864" w:themeColor="accent1" w:themeShade="80"/>
          <w:sz w:val="20"/>
          <w:szCs w:val="20"/>
        </w:rPr>
        <w:t xml:space="preserve">Evropska komisija do 25. julija zbira mnenja deležnikov o posodobitvah uredbe de </w:t>
      </w:r>
      <w:proofErr w:type="spellStart"/>
      <w:r w:rsidRPr="003E633C">
        <w:rPr>
          <w:rFonts w:ascii="Arial" w:hAnsi="Arial"/>
          <w:color w:val="1F3864" w:themeColor="accent1" w:themeShade="80"/>
          <w:sz w:val="20"/>
          <w:szCs w:val="20"/>
        </w:rPr>
        <w:t>minimis</w:t>
      </w:r>
      <w:proofErr w:type="spellEnd"/>
      <w:r w:rsidRPr="003E633C">
        <w:rPr>
          <w:rFonts w:ascii="Arial" w:hAnsi="Arial"/>
          <w:color w:val="1F3864" w:themeColor="accent1" w:themeShade="80"/>
          <w:sz w:val="20"/>
          <w:szCs w:val="20"/>
        </w:rPr>
        <w:t xml:space="preserve">. Veljavna pravila se bodo iztekla 31. decembra 2023. Cilj predlaganih sprememb je posodobiti sedanji prag de </w:t>
      </w:r>
      <w:proofErr w:type="spellStart"/>
      <w:r w:rsidRPr="003E633C">
        <w:rPr>
          <w:rFonts w:ascii="Arial" w:hAnsi="Arial"/>
          <w:color w:val="1F3864" w:themeColor="accent1" w:themeShade="80"/>
          <w:sz w:val="20"/>
          <w:szCs w:val="20"/>
        </w:rPr>
        <w:t>minimis</w:t>
      </w:r>
      <w:proofErr w:type="spellEnd"/>
      <w:r w:rsidRPr="003E633C">
        <w:rPr>
          <w:rFonts w:ascii="Arial" w:hAnsi="Arial"/>
          <w:color w:val="1F3864" w:themeColor="accent1" w:themeShade="80"/>
          <w:sz w:val="20"/>
          <w:szCs w:val="20"/>
        </w:rPr>
        <w:t xml:space="preserve"> ob upoštevanju pretekle in ocenjene inflacije za obdobje 2014-2030 ter nedavnega gospodarskega razvoja.</w:t>
      </w:r>
    </w:p>
    <w:p w14:paraId="34C4ACB0" w14:textId="77777777" w:rsidR="00A24230" w:rsidRPr="003E633C" w:rsidRDefault="00A24230" w:rsidP="00A24230">
      <w:pPr>
        <w:jc w:val="both"/>
        <w:rPr>
          <w:rFonts w:ascii="Arial" w:hAnsi="Arial"/>
          <w:color w:val="1F3864" w:themeColor="accent1" w:themeShade="80"/>
          <w:sz w:val="20"/>
          <w:szCs w:val="20"/>
        </w:rPr>
      </w:pPr>
    </w:p>
    <w:p w14:paraId="78219D92" w14:textId="77777777" w:rsidR="00A24230" w:rsidRPr="003E633C" w:rsidRDefault="00A24230" w:rsidP="00A24230">
      <w:pPr>
        <w:jc w:val="both"/>
        <w:rPr>
          <w:rFonts w:ascii="Arial" w:hAnsi="Arial"/>
          <w:color w:val="1F3864" w:themeColor="accent1" w:themeShade="80"/>
          <w:sz w:val="20"/>
          <w:szCs w:val="20"/>
        </w:rPr>
      </w:pPr>
      <w:r w:rsidRPr="003E633C">
        <w:rPr>
          <w:rFonts w:ascii="Arial" w:hAnsi="Arial"/>
          <w:color w:val="1F3864" w:themeColor="accent1" w:themeShade="80"/>
          <w:sz w:val="20"/>
          <w:szCs w:val="20"/>
        </w:rPr>
        <w:t>Več:</w:t>
      </w:r>
    </w:p>
    <w:p w14:paraId="3CA6EEBD" w14:textId="77777777" w:rsidR="00A24230" w:rsidRPr="00865B31" w:rsidRDefault="00A24230" w:rsidP="00A24230">
      <w:pPr>
        <w:jc w:val="both"/>
        <w:rPr>
          <w:rFonts w:ascii="Arial" w:hAnsi="Arial"/>
          <w:color w:val="FFC000"/>
          <w:sz w:val="20"/>
          <w:szCs w:val="20"/>
        </w:rPr>
      </w:pPr>
      <w:hyperlink r:id="rId19" w:history="1">
        <w:r w:rsidRPr="00865B31">
          <w:rPr>
            <w:rStyle w:val="Hyperlink"/>
            <w:rFonts w:ascii="Arial" w:hAnsi="Arial"/>
            <w:color w:val="FFC000"/>
            <w:sz w:val="20"/>
            <w:szCs w:val="20"/>
          </w:rPr>
          <w:t>Spletna stran za oddajo mnenj</w:t>
        </w:r>
      </w:hyperlink>
    </w:p>
    <w:p w14:paraId="3DE02688" w14:textId="77777777" w:rsidR="00865B31" w:rsidRDefault="00865B31" w:rsidP="00A24230">
      <w:pPr>
        <w:jc w:val="both"/>
        <w:rPr>
          <w:rFonts w:ascii="Arial" w:hAnsi="Arial"/>
          <w:b/>
          <w:bCs/>
          <w:color w:val="1F3864" w:themeColor="accent1" w:themeShade="80"/>
          <w:sz w:val="20"/>
          <w:szCs w:val="20"/>
        </w:rPr>
      </w:pPr>
    </w:p>
    <w:p w14:paraId="4EBFC167" w14:textId="0C921FE7" w:rsidR="00AA7E39" w:rsidRDefault="00AA7E39" w:rsidP="00A24230">
      <w:pPr>
        <w:jc w:val="both"/>
        <w:rPr>
          <w:rFonts w:ascii="Arial" w:hAnsi="Arial"/>
          <w:b/>
          <w:bCs/>
          <w:color w:val="1F3864" w:themeColor="accent1" w:themeShade="80"/>
          <w:sz w:val="20"/>
          <w:szCs w:val="20"/>
        </w:rPr>
      </w:pPr>
      <w:r>
        <w:rPr>
          <w:rFonts w:ascii="Arial" w:hAnsi="Arial"/>
          <w:b/>
          <w:bCs/>
          <w:noProof/>
          <w:color w:val="4472C4" w:themeColor="accent1"/>
          <w:sz w:val="20"/>
          <w:szCs w:val="20"/>
        </w:rPr>
        <w:drawing>
          <wp:inline distT="0" distB="0" distL="0" distR="0" wp14:anchorId="5CDE8F86" wp14:editId="006A15D6">
            <wp:extent cx="2566943" cy="1028700"/>
            <wp:effectExtent l="0" t="0" r="5080" b="0"/>
            <wp:docPr id="12" name="Picture 12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Text&#10;&#10;Description automatically generated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0770" cy="10302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97EEDE" w14:textId="164ACDA4" w:rsidR="00A24230" w:rsidRPr="003E633C" w:rsidRDefault="00A24230" w:rsidP="00A24230">
      <w:pPr>
        <w:jc w:val="both"/>
        <w:rPr>
          <w:rFonts w:ascii="Arial" w:hAnsi="Arial"/>
          <w:b/>
          <w:bCs/>
          <w:color w:val="1F3864" w:themeColor="accent1" w:themeShade="80"/>
          <w:sz w:val="20"/>
          <w:szCs w:val="20"/>
        </w:rPr>
      </w:pPr>
      <w:r w:rsidRPr="003E633C">
        <w:rPr>
          <w:rFonts w:ascii="Arial" w:hAnsi="Arial"/>
          <w:b/>
          <w:bCs/>
          <w:color w:val="1F3864" w:themeColor="accent1" w:themeShade="80"/>
          <w:sz w:val="20"/>
          <w:szCs w:val="20"/>
        </w:rPr>
        <w:t>Objavljeno je letno poročilo o obdavčitvi za leto 2022</w:t>
      </w:r>
    </w:p>
    <w:p w14:paraId="19B37505" w14:textId="77777777" w:rsidR="00A24230" w:rsidRPr="003E633C" w:rsidRDefault="00A24230" w:rsidP="00A24230">
      <w:pPr>
        <w:jc w:val="both"/>
        <w:rPr>
          <w:rFonts w:ascii="Arial" w:hAnsi="Arial"/>
          <w:color w:val="1F3864" w:themeColor="accent1" w:themeShade="80"/>
          <w:sz w:val="20"/>
          <w:szCs w:val="20"/>
        </w:rPr>
      </w:pPr>
    </w:p>
    <w:p w14:paraId="149D0767" w14:textId="77777777" w:rsidR="00A24230" w:rsidRPr="003E633C" w:rsidRDefault="00A24230" w:rsidP="00A24230">
      <w:pPr>
        <w:jc w:val="both"/>
        <w:rPr>
          <w:rFonts w:ascii="Arial" w:hAnsi="Arial"/>
          <w:color w:val="1F3864" w:themeColor="accent1" w:themeShade="80"/>
          <w:sz w:val="20"/>
          <w:szCs w:val="20"/>
        </w:rPr>
      </w:pPr>
      <w:r w:rsidRPr="003E633C">
        <w:rPr>
          <w:rFonts w:ascii="Arial" w:hAnsi="Arial"/>
          <w:color w:val="1F3864" w:themeColor="accent1" w:themeShade="80"/>
          <w:sz w:val="20"/>
          <w:szCs w:val="20"/>
        </w:rPr>
        <w:t>Davčni prihodki držav članic EU so se od finančne krize leta 2009 v letu 2021 prvič zmanjšali, Evropska komisija navaja v letnem poročilu o obdavčitvi.</w:t>
      </w:r>
    </w:p>
    <w:p w14:paraId="6731C8F1" w14:textId="77777777" w:rsidR="00A24230" w:rsidRPr="003E633C" w:rsidRDefault="00A24230" w:rsidP="00A24230">
      <w:pPr>
        <w:jc w:val="both"/>
        <w:rPr>
          <w:rFonts w:ascii="Arial" w:hAnsi="Arial"/>
          <w:color w:val="1F3864" w:themeColor="accent1" w:themeShade="80"/>
          <w:sz w:val="20"/>
          <w:szCs w:val="20"/>
        </w:rPr>
      </w:pPr>
    </w:p>
    <w:p w14:paraId="7BF6AD2C" w14:textId="77777777" w:rsidR="00A24230" w:rsidRPr="003E633C" w:rsidRDefault="00A24230" w:rsidP="00A24230">
      <w:pPr>
        <w:jc w:val="both"/>
        <w:rPr>
          <w:rFonts w:ascii="Arial" w:hAnsi="Arial"/>
          <w:color w:val="1F3864" w:themeColor="accent1" w:themeShade="80"/>
          <w:sz w:val="20"/>
          <w:szCs w:val="20"/>
        </w:rPr>
      </w:pPr>
      <w:r w:rsidRPr="003E633C">
        <w:rPr>
          <w:rFonts w:ascii="Arial" w:hAnsi="Arial"/>
          <w:color w:val="1F3864" w:themeColor="accent1" w:themeShade="80"/>
          <w:sz w:val="20"/>
          <w:szCs w:val="20"/>
        </w:rPr>
        <w:t>Več:</w:t>
      </w:r>
    </w:p>
    <w:p w14:paraId="415E7934" w14:textId="77777777" w:rsidR="00A24230" w:rsidRPr="00865B31" w:rsidRDefault="00A24230" w:rsidP="00A24230">
      <w:pPr>
        <w:jc w:val="both"/>
        <w:rPr>
          <w:rFonts w:ascii="Arial" w:hAnsi="Arial"/>
          <w:color w:val="FFC000"/>
          <w:sz w:val="20"/>
          <w:szCs w:val="20"/>
        </w:rPr>
      </w:pPr>
      <w:hyperlink r:id="rId21" w:history="1">
        <w:r w:rsidRPr="00865B31">
          <w:rPr>
            <w:rStyle w:val="Hyperlink"/>
            <w:rFonts w:ascii="Arial" w:hAnsi="Arial"/>
            <w:color w:val="FFC000"/>
            <w:sz w:val="20"/>
            <w:szCs w:val="20"/>
          </w:rPr>
          <w:t>Poročilo</w:t>
        </w:r>
      </w:hyperlink>
    </w:p>
    <w:p w14:paraId="605CA26B" w14:textId="77777777" w:rsidR="00A24230" w:rsidRPr="003E633C" w:rsidRDefault="00A24230" w:rsidP="00A24230">
      <w:pPr>
        <w:jc w:val="both"/>
        <w:rPr>
          <w:rFonts w:ascii="Arial" w:hAnsi="Arial"/>
          <w:color w:val="1F3864" w:themeColor="accent1" w:themeShade="80"/>
          <w:sz w:val="20"/>
          <w:szCs w:val="20"/>
        </w:rPr>
      </w:pPr>
    </w:p>
    <w:p w14:paraId="4E053DEE" w14:textId="45078F9B" w:rsidR="00865B31" w:rsidRDefault="00865B31" w:rsidP="00A24230">
      <w:pPr>
        <w:jc w:val="both"/>
        <w:rPr>
          <w:rFonts w:ascii="Arial" w:hAnsi="Arial"/>
          <w:b/>
          <w:bCs/>
          <w:color w:val="1F3864" w:themeColor="accent1" w:themeShade="80"/>
          <w:sz w:val="20"/>
          <w:szCs w:val="20"/>
        </w:rPr>
      </w:pPr>
    </w:p>
    <w:p w14:paraId="4E1D1888" w14:textId="1D6A9C55" w:rsidR="00E23C38" w:rsidRDefault="00E23C38" w:rsidP="00A24230">
      <w:pPr>
        <w:jc w:val="both"/>
        <w:rPr>
          <w:rFonts w:ascii="Arial" w:hAnsi="Arial"/>
          <w:b/>
          <w:bCs/>
          <w:color w:val="1F3864" w:themeColor="accent1" w:themeShade="80"/>
          <w:sz w:val="20"/>
          <w:szCs w:val="20"/>
        </w:rPr>
      </w:pPr>
      <w:r>
        <w:rPr>
          <w:rFonts w:ascii="Arial" w:hAnsi="Arial"/>
          <w:b/>
          <w:bCs/>
          <w:noProof/>
          <w:color w:val="4472C4" w:themeColor="accent1"/>
          <w:sz w:val="20"/>
          <w:szCs w:val="20"/>
        </w:rPr>
        <w:drawing>
          <wp:inline distT="0" distB="0" distL="0" distR="0" wp14:anchorId="1DFC1D7B" wp14:editId="28629A85">
            <wp:extent cx="2551098" cy="1022350"/>
            <wp:effectExtent l="0" t="0" r="1905" b="6350"/>
            <wp:docPr id="13" name="Picture 13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 descr="Text&#10;&#10;Description automatically generated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5977" cy="1024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CFDD9A" w14:textId="5B32FC48" w:rsidR="00A24230" w:rsidRPr="003E633C" w:rsidRDefault="00A24230" w:rsidP="00A24230">
      <w:pPr>
        <w:jc w:val="both"/>
        <w:rPr>
          <w:rFonts w:ascii="Arial" w:hAnsi="Arial"/>
          <w:b/>
          <w:bCs/>
          <w:color w:val="1F3864" w:themeColor="accent1" w:themeShade="80"/>
          <w:sz w:val="20"/>
          <w:szCs w:val="20"/>
        </w:rPr>
      </w:pPr>
      <w:r w:rsidRPr="003E633C">
        <w:rPr>
          <w:rFonts w:ascii="Arial" w:hAnsi="Arial"/>
          <w:b/>
          <w:bCs/>
          <w:color w:val="1F3864" w:themeColor="accent1" w:themeShade="80"/>
          <w:sz w:val="20"/>
          <w:szCs w:val="20"/>
        </w:rPr>
        <w:t>Smernice EU za izvajanje pravil EU o proizvodih na notranjem trgu</w:t>
      </w:r>
    </w:p>
    <w:p w14:paraId="2D754B04" w14:textId="77777777" w:rsidR="00A24230" w:rsidRPr="003E633C" w:rsidRDefault="00A24230" w:rsidP="00A24230">
      <w:pPr>
        <w:jc w:val="both"/>
        <w:rPr>
          <w:rFonts w:ascii="Arial" w:hAnsi="Arial"/>
          <w:color w:val="1F3864" w:themeColor="accent1" w:themeShade="80"/>
          <w:sz w:val="20"/>
          <w:szCs w:val="20"/>
        </w:rPr>
      </w:pPr>
    </w:p>
    <w:p w14:paraId="07CBABC7" w14:textId="77777777" w:rsidR="00A24230" w:rsidRPr="003E633C" w:rsidRDefault="00A24230" w:rsidP="00A24230">
      <w:pPr>
        <w:jc w:val="both"/>
        <w:rPr>
          <w:rFonts w:ascii="Arial" w:hAnsi="Arial"/>
          <w:color w:val="1F3864" w:themeColor="accent1" w:themeShade="80"/>
          <w:sz w:val="20"/>
          <w:szCs w:val="20"/>
        </w:rPr>
      </w:pPr>
      <w:r w:rsidRPr="003E633C">
        <w:rPr>
          <w:rFonts w:ascii="Arial" w:hAnsi="Arial"/>
          <w:color w:val="1F3864" w:themeColor="accent1" w:themeShade="80"/>
          <w:sz w:val="20"/>
          <w:szCs w:val="20"/>
        </w:rPr>
        <w:t xml:space="preserve">Evropska komisija je objavila smernice za izvajanje pravil EU o proizvodih na notranjem trgu. Namen »modrega vodnika« je pojasniti pravila EU o proizvodih in olajšati njihovo enotno uporabo v vseh sektorjih na enotnem trgu. Priročnik med drugim vsebuje pojasnila in nasvete glede evropskega sistema ugotavljanja skladnosti, laboratorijske akreditacije, oznake CE in nadzora trga. </w:t>
      </w:r>
    </w:p>
    <w:p w14:paraId="2B89A42C" w14:textId="77777777" w:rsidR="00A24230" w:rsidRPr="003E633C" w:rsidRDefault="00A24230" w:rsidP="00A24230">
      <w:pPr>
        <w:jc w:val="both"/>
        <w:rPr>
          <w:rFonts w:ascii="Arial" w:hAnsi="Arial"/>
          <w:color w:val="1F3864" w:themeColor="accent1" w:themeShade="80"/>
          <w:sz w:val="20"/>
          <w:szCs w:val="20"/>
        </w:rPr>
      </w:pPr>
    </w:p>
    <w:p w14:paraId="5A6BEC46" w14:textId="77777777" w:rsidR="00A24230" w:rsidRPr="003E633C" w:rsidRDefault="00A24230" w:rsidP="00A24230">
      <w:pPr>
        <w:jc w:val="both"/>
        <w:rPr>
          <w:rFonts w:ascii="Arial" w:hAnsi="Arial"/>
          <w:color w:val="1F3864" w:themeColor="accent1" w:themeShade="80"/>
          <w:sz w:val="20"/>
          <w:szCs w:val="20"/>
        </w:rPr>
      </w:pPr>
      <w:r w:rsidRPr="003E633C">
        <w:rPr>
          <w:rFonts w:ascii="Arial" w:hAnsi="Arial"/>
          <w:color w:val="1F3864" w:themeColor="accent1" w:themeShade="80"/>
          <w:sz w:val="20"/>
          <w:szCs w:val="20"/>
        </w:rPr>
        <w:t>Več:</w:t>
      </w:r>
    </w:p>
    <w:p w14:paraId="79540D6C" w14:textId="77777777" w:rsidR="00A24230" w:rsidRPr="00865B31" w:rsidRDefault="00A24230" w:rsidP="00A24230">
      <w:pPr>
        <w:jc w:val="both"/>
        <w:rPr>
          <w:rFonts w:ascii="Arial" w:hAnsi="Arial"/>
          <w:color w:val="FFC000"/>
          <w:sz w:val="20"/>
          <w:szCs w:val="20"/>
        </w:rPr>
      </w:pPr>
      <w:hyperlink r:id="rId23" w:history="1">
        <w:r w:rsidRPr="00865B31">
          <w:rPr>
            <w:rStyle w:val="Hyperlink"/>
            <w:rFonts w:ascii="Arial" w:hAnsi="Arial"/>
            <w:color w:val="FFC000"/>
            <w:sz w:val="20"/>
            <w:szCs w:val="20"/>
          </w:rPr>
          <w:t>Smernice</w:t>
        </w:r>
      </w:hyperlink>
    </w:p>
    <w:p w14:paraId="2893D9D4" w14:textId="3A25C341" w:rsidR="00A24230" w:rsidRDefault="00A24230" w:rsidP="00A24230">
      <w:pPr>
        <w:jc w:val="both"/>
        <w:rPr>
          <w:rFonts w:ascii="Arial" w:hAnsi="Arial"/>
          <w:color w:val="1F3864" w:themeColor="accent1" w:themeShade="80"/>
          <w:sz w:val="20"/>
          <w:szCs w:val="20"/>
        </w:rPr>
      </w:pPr>
    </w:p>
    <w:p w14:paraId="55C06EC0" w14:textId="54A3AE33" w:rsidR="00865B31" w:rsidRDefault="00865B31" w:rsidP="00A24230">
      <w:pPr>
        <w:jc w:val="both"/>
        <w:rPr>
          <w:rFonts w:ascii="Arial" w:hAnsi="Arial"/>
          <w:color w:val="1F3864" w:themeColor="accent1" w:themeShade="80"/>
          <w:sz w:val="20"/>
          <w:szCs w:val="20"/>
        </w:rPr>
      </w:pPr>
    </w:p>
    <w:p w14:paraId="265EC11B" w14:textId="043DE218" w:rsidR="009B2683" w:rsidRPr="003E633C" w:rsidRDefault="009B2683" w:rsidP="00A24230">
      <w:pPr>
        <w:jc w:val="both"/>
        <w:rPr>
          <w:rFonts w:ascii="Arial" w:hAnsi="Arial"/>
          <w:color w:val="1F3864" w:themeColor="accent1" w:themeShade="80"/>
          <w:sz w:val="20"/>
          <w:szCs w:val="20"/>
        </w:rPr>
      </w:pPr>
      <w:r>
        <w:rPr>
          <w:rFonts w:ascii="Arial" w:hAnsi="Arial"/>
          <w:noProof/>
          <w:color w:val="4472C4" w:themeColor="accent1"/>
          <w:sz w:val="20"/>
          <w:szCs w:val="20"/>
        </w:rPr>
        <w:drawing>
          <wp:inline distT="0" distB="0" distL="0" distR="0" wp14:anchorId="551773E8" wp14:editId="2141D0BA">
            <wp:extent cx="2646170" cy="1060450"/>
            <wp:effectExtent l="0" t="0" r="1905" b="6350"/>
            <wp:docPr id="14" name="Picture 14" descr="A person riding a bike next to a sign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 descr="A person riding a bike next to a sign&#10;&#10;Description automatically generated with medium confidence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0911" cy="1062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185B94" w14:textId="77777777" w:rsidR="00A24230" w:rsidRPr="003E633C" w:rsidRDefault="00A24230" w:rsidP="00A24230">
      <w:pPr>
        <w:jc w:val="both"/>
        <w:rPr>
          <w:rFonts w:ascii="Arial" w:hAnsi="Arial"/>
          <w:b/>
          <w:bCs/>
          <w:color w:val="1F3864" w:themeColor="accent1" w:themeShade="80"/>
          <w:sz w:val="20"/>
          <w:szCs w:val="20"/>
        </w:rPr>
      </w:pPr>
      <w:r w:rsidRPr="003E633C">
        <w:rPr>
          <w:rFonts w:ascii="Arial" w:hAnsi="Arial"/>
          <w:b/>
          <w:bCs/>
          <w:color w:val="1F3864" w:themeColor="accent1" w:themeShade="80"/>
          <w:sz w:val="20"/>
          <w:szCs w:val="20"/>
        </w:rPr>
        <w:t>Evropska komisija je objavila 186 zavez deležnikov na področju turizma</w:t>
      </w:r>
    </w:p>
    <w:p w14:paraId="007E1423" w14:textId="77777777" w:rsidR="00A24230" w:rsidRPr="003E633C" w:rsidRDefault="00A24230" w:rsidP="00A24230">
      <w:pPr>
        <w:jc w:val="both"/>
        <w:rPr>
          <w:rFonts w:ascii="Arial" w:hAnsi="Arial"/>
          <w:color w:val="1F3864" w:themeColor="accent1" w:themeShade="80"/>
          <w:sz w:val="20"/>
          <w:szCs w:val="20"/>
        </w:rPr>
      </w:pPr>
    </w:p>
    <w:p w14:paraId="7FD72E3F" w14:textId="77777777" w:rsidR="00A24230" w:rsidRPr="003E633C" w:rsidRDefault="00A24230" w:rsidP="00A24230">
      <w:pPr>
        <w:jc w:val="both"/>
        <w:rPr>
          <w:rFonts w:ascii="Arial" w:hAnsi="Arial"/>
          <w:color w:val="1F3864" w:themeColor="accent1" w:themeShade="80"/>
          <w:sz w:val="20"/>
          <w:szCs w:val="20"/>
        </w:rPr>
      </w:pPr>
      <w:r w:rsidRPr="003E633C">
        <w:rPr>
          <w:rFonts w:ascii="Arial" w:hAnsi="Arial"/>
          <w:color w:val="1F3864" w:themeColor="accent1" w:themeShade="80"/>
          <w:sz w:val="20"/>
          <w:szCs w:val="20"/>
        </w:rPr>
        <w:t>Evropska komisija je objavila 186 zavez deležnikov na področju turizma, v katerih so opredeljeni ukrepi za podporo okolju prijaznejšemu, bolj digitalnemu in odpornemu turističnemu sektorju v Evropi.</w:t>
      </w:r>
    </w:p>
    <w:p w14:paraId="7D16152E" w14:textId="77777777" w:rsidR="00A24230" w:rsidRPr="003E633C" w:rsidRDefault="00A24230" w:rsidP="00A24230">
      <w:pPr>
        <w:jc w:val="both"/>
        <w:rPr>
          <w:rFonts w:ascii="Arial" w:hAnsi="Arial"/>
          <w:color w:val="1F3864" w:themeColor="accent1" w:themeShade="80"/>
          <w:sz w:val="20"/>
          <w:szCs w:val="20"/>
        </w:rPr>
      </w:pPr>
    </w:p>
    <w:p w14:paraId="53377979" w14:textId="77777777" w:rsidR="00A24230" w:rsidRPr="003E633C" w:rsidRDefault="00A24230" w:rsidP="00A24230">
      <w:pPr>
        <w:jc w:val="both"/>
        <w:rPr>
          <w:rFonts w:ascii="Arial" w:hAnsi="Arial"/>
          <w:color w:val="1F3864" w:themeColor="accent1" w:themeShade="80"/>
          <w:sz w:val="20"/>
          <w:szCs w:val="20"/>
        </w:rPr>
      </w:pPr>
      <w:r w:rsidRPr="003E633C">
        <w:rPr>
          <w:rFonts w:ascii="Arial" w:hAnsi="Arial"/>
          <w:color w:val="1F3864" w:themeColor="accent1" w:themeShade="80"/>
          <w:sz w:val="20"/>
          <w:szCs w:val="20"/>
        </w:rPr>
        <w:t>Več:</w:t>
      </w:r>
    </w:p>
    <w:p w14:paraId="123C093A" w14:textId="77777777" w:rsidR="00A24230" w:rsidRPr="00865B31" w:rsidRDefault="00A24230" w:rsidP="00A24230">
      <w:pPr>
        <w:jc w:val="both"/>
        <w:rPr>
          <w:rFonts w:ascii="Arial" w:hAnsi="Arial"/>
          <w:color w:val="FFC000"/>
          <w:sz w:val="20"/>
          <w:szCs w:val="20"/>
        </w:rPr>
      </w:pPr>
      <w:hyperlink r:id="rId25" w:history="1">
        <w:r w:rsidRPr="00865B31">
          <w:rPr>
            <w:rStyle w:val="Hyperlink"/>
            <w:rFonts w:ascii="Arial" w:hAnsi="Arial"/>
            <w:color w:val="FFC000"/>
            <w:sz w:val="20"/>
            <w:szCs w:val="20"/>
          </w:rPr>
          <w:t>Zaveze</w:t>
        </w:r>
      </w:hyperlink>
    </w:p>
    <w:p w14:paraId="1BF49EFF" w14:textId="485486DA" w:rsidR="00A24230" w:rsidRPr="003E633C" w:rsidRDefault="00A24230" w:rsidP="00970D17">
      <w:pPr>
        <w:jc w:val="both"/>
        <w:rPr>
          <w:rFonts w:ascii="Arial" w:hAnsi="Arial"/>
          <w:color w:val="1F3864" w:themeColor="accent1" w:themeShade="80"/>
          <w:sz w:val="20"/>
          <w:szCs w:val="20"/>
        </w:rPr>
        <w:sectPr w:rsidR="00A24230" w:rsidRPr="003E633C" w:rsidSect="00572478">
          <w:headerReference w:type="first" r:id="rId26"/>
          <w:pgSz w:w="11906" w:h="16838"/>
          <w:pgMar w:top="1134" w:right="1440" w:bottom="1276" w:left="1440" w:header="708" w:footer="708" w:gutter="0"/>
          <w:cols w:num="2" w:space="708"/>
          <w:titlePg/>
          <w:docGrid w:linePitch="360"/>
        </w:sectPr>
      </w:pPr>
    </w:p>
    <w:p w14:paraId="705B84FE" w14:textId="77777777" w:rsidR="00970D17" w:rsidRDefault="00970D17"/>
    <w:sectPr w:rsidR="00970D17" w:rsidSect="00970D17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0AC7C2" w14:textId="77777777" w:rsidR="00FB52E5" w:rsidRDefault="00FB52E5" w:rsidP="00603E26">
      <w:r>
        <w:separator/>
      </w:r>
    </w:p>
  </w:endnote>
  <w:endnote w:type="continuationSeparator" w:id="0">
    <w:p w14:paraId="487875BB" w14:textId="77777777" w:rsidR="00FB52E5" w:rsidRDefault="00FB52E5" w:rsidP="00603E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DE5931" w14:textId="77777777" w:rsidR="00FB52E5" w:rsidRDefault="00FB52E5" w:rsidP="00603E26">
      <w:r>
        <w:separator/>
      </w:r>
    </w:p>
  </w:footnote>
  <w:footnote w:type="continuationSeparator" w:id="0">
    <w:p w14:paraId="58FB0601" w14:textId="77777777" w:rsidR="00FB52E5" w:rsidRDefault="00FB52E5" w:rsidP="00603E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99FC2A" w14:textId="066688E5" w:rsidR="00603E26" w:rsidRDefault="00603E26">
    <w:pPr>
      <w:pStyle w:val="Header"/>
    </w:pPr>
    <w:r>
      <w:rPr>
        <w:noProof/>
      </w:rPr>
      <w:drawing>
        <wp:inline distT="0" distB="0" distL="0" distR="0" wp14:anchorId="269E6999" wp14:editId="4881552D">
          <wp:extent cx="5731510" cy="2555875"/>
          <wp:effectExtent l="0" t="0" r="2540" b="0"/>
          <wp:docPr id="21" name="Picture 21" descr="A picture containing graphical user inter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picture containing graphical user interfac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25558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635"/>
    <w:rsid w:val="003E633C"/>
    <w:rsid w:val="00514635"/>
    <w:rsid w:val="00544B5F"/>
    <w:rsid w:val="00572478"/>
    <w:rsid w:val="00603E26"/>
    <w:rsid w:val="00775FAB"/>
    <w:rsid w:val="00865B31"/>
    <w:rsid w:val="00934518"/>
    <w:rsid w:val="00970D17"/>
    <w:rsid w:val="009B2683"/>
    <w:rsid w:val="00A24230"/>
    <w:rsid w:val="00AA4676"/>
    <w:rsid w:val="00AA7E39"/>
    <w:rsid w:val="00C15A4E"/>
    <w:rsid w:val="00C300BB"/>
    <w:rsid w:val="00C83BB1"/>
    <w:rsid w:val="00C915C1"/>
    <w:rsid w:val="00C93177"/>
    <w:rsid w:val="00CC559F"/>
    <w:rsid w:val="00D347F8"/>
    <w:rsid w:val="00E23C38"/>
    <w:rsid w:val="00FB5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505BF937"/>
  <w15:chartTrackingRefBased/>
  <w15:docId w15:val="{81A4FCDE-0273-47D6-A6DB-5C097565F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15C1"/>
    <w:pPr>
      <w:spacing w:after="0" w:line="240" w:lineRule="auto"/>
    </w:pPr>
    <w:rPr>
      <w:rFonts w:ascii="Times New Roman" w:eastAsia="NSimSun" w:hAnsi="Times New Roman" w:cs="Arial"/>
      <w:kern w:val="2"/>
      <w:sz w:val="24"/>
      <w:szCs w:val="24"/>
      <w:lang w:val="sl-SI"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915C1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03E26"/>
    <w:pPr>
      <w:tabs>
        <w:tab w:val="center" w:pos="4513"/>
        <w:tab w:val="right" w:pos="9026"/>
      </w:tabs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603E26"/>
    <w:rPr>
      <w:rFonts w:ascii="Times New Roman" w:eastAsia="NSimSun" w:hAnsi="Times New Roman" w:cs="Mangal"/>
      <w:kern w:val="2"/>
      <w:sz w:val="24"/>
      <w:szCs w:val="21"/>
      <w:lang w:val="sl-SI" w:eastAsia="zh-CN" w:bidi="hi-IN"/>
    </w:rPr>
  </w:style>
  <w:style w:type="paragraph" w:styleId="Footer">
    <w:name w:val="footer"/>
    <w:basedOn w:val="Normal"/>
    <w:link w:val="FooterChar"/>
    <w:uiPriority w:val="99"/>
    <w:unhideWhenUsed/>
    <w:rsid w:val="00603E26"/>
    <w:pPr>
      <w:tabs>
        <w:tab w:val="center" w:pos="4513"/>
        <w:tab w:val="right" w:pos="9026"/>
      </w:tabs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603E26"/>
    <w:rPr>
      <w:rFonts w:ascii="Times New Roman" w:eastAsia="NSimSun" w:hAnsi="Times New Roman" w:cs="Mangal"/>
      <w:kern w:val="2"/>
      <w:sz w:val="24"/>
      <w:szCs w:val="21"/>
      <w:lang w:val="sl-SI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curia.europa.eu/juris/documents.jsf?oqp=&amp;for=&amp;mat=or&amp;lgrec=sl&amp;jge=&amp;td=%3BALL&amp;jur=C%2CT%2CF&amp;num=C-576%252F20&amp;page=1&amp;dates=&amp;pcs=Oor&amp;lg=&amp;pro=&amp;nat=or&amp;cit=none%252CC%252CCJ%252CR%252C2008E%252C%252C%252C%252C%252C%252C%252C%252C%252C%252Ctrue%252Cfalse%25" TargetMode="External"/><Relationship Id="rId18" Type="http://schemas.openxmlformats.org/officeDocument/2006/relationships/image" Target="media/image7.png"/><Relationship Id="rId26" Type="http://schemas.openxmlformats.org/officeDocument/2006/relationships/header" Target="header1.xml"/><Relationship Id="rId3" Type="http://schemas.openxmlformats.org/officeDocument/2006/relationships/webSettings" Target="webSettings.xml"/><Relationship Id="rId21" Type="http://schemas.openxmlformats.org/officeDocument/2006/relationships/hyperlink" Target="https://ec.europa.eu/taxation_customs/taxation-1/economic-analysis-taxation/annual-report-taxation_en" TargetMode="External"/><Relationship Id="rId7" Type="http://schemas.openxmlformats.org/officeDocument/2006/relationships/hyperlink" Target="https://www.eca.europa.eu/sl/Pages/DocItem.aspx?did=61461" TargetMode="External"/><Relationship Id="rId12" Type="http://schemas.openxmlformats.org/officeDocument/2006/relationships/image" Target="media/image4.png"/><Relationship Id="rId17" Type="http://schemas.openxmlformats.org/officeDocument/2006/relationships/hyperlink" Target="https://ec.europa.eu/commission/presscorner/detail/sl/IP_22_4198" TargetMode="External"/><Relationship Id="rId25" Type="http://schemas.openxmlformats.org/officeDocument/2006/relationships/hyperlink" Target="https://ec.europa.eu/growth/sectors/tourism/tourism-transition-pathway/commitments_en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6.png"/><Relationship Id="rId20" Type="http://schemas.openxmlformats.org/officeDocument/2006/relationships/image" Target="media/image8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policy.trade.ec.europa.eu/eu-trade-relationships-country-and-region/countries-and-regions/new-zealand/eu-new-zealand-agreement_en" TargetMode="External"/><Relationship Id="rId24" Type="http://schemas.openxmlformats.org/officeDocument/2006/relationships/image" Target="media/image10.png"/><Relationship Id="rId5" Type="http://schemas.openxmlformats.org/officeDocument/2006/relationships/endnotes" Target="endnotes.xml"/><Relationship Id="rId15" Type="http://schemas.openxmlformats.org/officeDocument/2006/relationships/hyperlink" Target="https://etendering.ted.europa.eu/cft/cft-display.html?cftId=11270" TargetMode="External"/><Relationship Id="rId23" Type="http://schemas.openxmlformats.org/officeDocument/2006/relationships/hyperlink" Target="https://ec.europa.eu/growth/single-market/goods/new-legislative-framework_en" TargetMode="External"/><Relationship Id="rId28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hyperlink" Target="https://ec.europa.eu/info/law/better-regulation/have-your-say/initiatives/13458-Drzavna-pomoc-izvzetja-za-majhne-zneske-pomoci-pomoc-de-minimis-posodobitev-_sl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ec.europa.eu/social/main.jsp?catId=738&amp;langId=sl&amp;pubId=8483&amp;furtherPubs=yes" TargetMode="External"/><Relationship Id="rId14" Type="http://schemas.openxmlformats.org/officeDocument/2006/relationships/image" Target="media/image5.png"/><Relationship Id="rId22" Type="http://schemas.openxmlformats.org/officeDocument/2006/relationships/image" Target="media/image9.png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721</Words>
  <Characters>4111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Bostjan Sinkovec</dc:creator>
  <cp:keywords/>
  <dc:description/>
  <cp:lastModifiedBy>Bostjan Sinkovec</cp:lastModifiedBy>
  <cp:revision>19</cp:revision>
  <dcterms:created xsi:type="dcterms:W3CDTF">2022-07-20T10:05:00Z</dcterms:created>
  <dcterms:modified xsi:type="dcterms:W3CDTF">2022-07-20T13:39:00Z</dcterms:modified>
</cp:coreProperties>
</file>