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EDAB6" w14:textId="77777777" w:rsidR="006D350B" w:rsidRDefault="006D350B" w:rsidP="00A41A32">
      <w:pPr>
        <w:jc w:val="both"/>
        <w:rPr>
          <w:rFonts w:ascii="Arial" w:hAnsi="Arial"/>
          <w:b/>
          <w:bCs/>
          <w:color w:val="1F3864" w:themeColor="accent1" w:themeShade="80"/>
          <w:sz w:val="20"/>
          <w:szCs w:val="20"/>
        </w:rPr>
      </w:pPr>
    </w:p>
    <w:p w14:paraId="3A91A702" w14:textId="722160CF" w:rsidR="006D350B" w:rsidRDefault="00576136" w:rsidP="00A41A32">
      <w:pPr>
        <w:jc w:val="both"/>
        <w:rPr>
          <w:rFonts w:ascii="Arial" w:hAnsi="Arial"/>
          <w:b/>
          <w:bCs/>
          <w:color w:val="1F3864" w:themeColor="accent1" w:themeShade="80"/>
          <w:sz w:val="20"/>
          <w:szCs w:val="20"/>
        </w:rPr>
      </w:pPr>
      <w:r>
        <w:object w:dxaOrig="2670" w:dyaOrig="1070" w14:anchorId="344C3D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04.5pt;height:82pt" o:ole="">
            <v:imagedata r:id="rId6" o:title=""/>
          </v:shape>
          <o:OLEObject Type="Embed" ProgID="Paint.Picture" ShapeID="_x0000_i1043" DrawAspect="Content" ObjectID="_1717929592" r:id="rId7"/>
        </w:object>
      </w:r>
    </w:p>
    <w:p w14:paraId="1E050047" w14:textId="30795A80" w:rsidR="00A41A32" w:rsidRPr="006D350B" w:rsidRDefault="00A41A32" w:rsidP="00A41A32">
      <w:pPr>
        <w:jc w:val="both"/>
        <w:rPr>
          <w:rFonts w:ascii="Arial" w:hAnsi="Arial"/>
          <w:b/>
          <w:bCs/>
          <w:color w:val="1F3864" w:themeColor="accent1" w:themeShade="80"/>
          <w:sz w:val="20"/>
          <w:szCs w:val="20"/>
        </w:rPr>
      </w:pPr>
      <w:bookmarkStart w:id="0" w:name="_Hlk107310614"/>
      <w:r w:rsidRPr="006D350B">
        <w:rPr>
          <w:rFonts w:ascii="Arial" w:hAnsi="Arial"/>
          <w:b/>
          <w:bCs/>
          <w:color w:val="1F3864" w:themeColor="accent1" w:themeShade="80"/>
          <w:sz w:val="20"/>
          <w:szCs w:val="20"/>
        </w:rPr>
        <w:t>Sodba glede omejitve starosti za imenovanje predsednika organizacije</w:t>
      </w:r>
    </w:p>
    <w:p w14:paraId="40E86176" w14:textId="77777777" w:rsidR="00A41A32" w:rsidRPr="006D350B" w:rsidRDefault="00A41A32" w:rsidP="00A41A32">
      <w:pPr>
        <w:jc w:val="both"/>
        <w:rPr>
          <w:rFonts w:ascii="Arial" w:hAnsi="Arial"/>
          <w:color w:val="1F3864" w:themeColor="accent1" w:themeShade="80"/>
          <w:sz w:val="20"/>
          <w:szCs w:val="20"/>
        </w:rPr>
      </w:pPr>
    </w:p>
    <w:p w14:paraId="2DEFB227" w14:textId="77777777" w:rsidR="00A41A32" w:rsidRPr="006D350B" w:rsidRDefault="00A41A32" w:rsidP="00A41A32">
      <w:pPr>
        <w:jc w:val="both"/>
        <w:rPr>
          <w:rFonts w:ascii="Arial" w:hAnsi="Arial"/>
          <w:color w:val="1F3864" w:themeColor="accent1" w:themeShade="80"/>
          <w:sz w:val="20"/>
          <w:szCs w:val="20"/>
        </w:rPr>
      </w:pPr>
      <w:r w:rsidRPr="006D350B">
        <w:rPr>
          <w:rFonts w:ascii="Arial" w:hAnsi="Arial"/>
          <w:color w:val="1F3864" w:themeColor="accent1" w:themeShade="80"/>
          <w:sz w:val="20"/>
          <w:szCs w:val="20"/>
        </w:rPr>
        <w:t>Nekatere organizacije imajo v statutu določeno starostno omejitev za imenovanje za predsednika. Sodniki sodišča EU so presodili, da te določbe sodijo v področje direktive o preprečevanju diskriminacije.</w:t>
      </w:r>
    </w:p>
    <w:p w14:paraId="5F92442E" w14:textId="77777777" w:rsidR="00A41A32" w:rsidRPr="006D350B" w:rsidRDefault="00A41A32" w:rsidP="00A41A32">
      <w:pPr>
        <w:jc w:val="both"/>
        <w:rPr>
          <w:rFonts w:ascii="Arial" w:hAnsi="Arial"/>
          <w:color w:val="1F3864" w:themeColor="accent1" w:themeShade="80"/>
          <w:sz w:val="20"/>
          <w:szCs w:val="20"/>
        </w:rPr>
      </w:pPr>
    </w:p>
    <w:p w14:paraId="094E7387" w14:textId="77777777" w:rsidR="00A41A32" w:rsidRPr="006D350B" w:rsidRDefault="00A41A32" w:rsidP="00A41A32">
      <w:pPr>
        <w:jc w:val="both"/>
        <w:rPr>
          <w:rFonts w:ascii="Arial" w:hAnsi="Arial"/>
          <w:color w:val="1F3864" w:themeColor="accent1" w:themeShade="80"/>
          <w:sz w:val="20"/>
          <w:szCs w:val="20"/>
        </w:rPr>
      </w:pPr>
      <w:r w:rsidRPr="006D350B">
        <w:rPr>
          <w:rFonts w:ascii="Arial" w:hAnsi="Arial"/>
          <w:color w:val="1F3864" w:themeColor="accent1" w:themeShade="80"/>
          <w:sz w:val="20"/>
          <w:szCs w:val="20"/>
        </w:rPr>
        <w:t>Več:</w:t>
      </w:r>
    </w:p>
    <w:p w14:paraId="21B2BB37" w14:textId="77777777" w:rsidR="00A41A32" w:rsidRPr="006D350B" w:rsidRDefault="00A41A32" w:rsidP="00A41A32">
      <w:pPr>
        <w:jc w:val="both"/>
        <w:rPr>
          <w:rFonts w:ascii="Arial" w:hAnsi="Arial"/>
          <w:color w:val="FFC000"/>
          <w:sz w:val="20"/>
          <w:szCs w:val="20"/>
        </w:rPr>
      </w:pPr>
      <w:hyperlink r:id="rId8" w:history="1">
        <w:r w:rsidRPr="006D350B">
          <w:rPr>
            <w:rStyle w:val="Hyperlink"/>
            <w:rFonts w:ascii="Arial" w:hAnsi="Arial"/>
            <w:color w:val="FFC000"/>
            <w:sz w:val="20"/>
            <w:szCs w:val="20"/>
          </w:rPr>
          <w:t>Sodba</w:t>
        </w:r>
      </w:hyperlink>
      <w:r w:rsidRPr="006D350B">
        <w:rPr>
          <w:rFonts w:ascii="Arial" w:hAnsi="Arial"/>
          <w:color w:val="FFC000"/>
          <w:sz w:val="20"/>
          <w:szCs w:val="20"/>
        </w:rPr>
        <w:t xml:space="preserve"> </w:t>
      </w:r>
    </w:p>
    <w:bookmarkEnd w:id="0"/>
    <w:p w14:paraId="32C0FECD" w14:textId="09E628B2" w:rsidR="001E0747" w:rsidRDefault="00F40474">
      <w:pPr>
        <w:rPr>
          <w:color w:val="1F3864" w:themeColor="accent1" w:themeShade="80"/>
        </w:rPr>
      </w:pPr>
    </w:p>
    <w:p w14:paraId="5DB3E1FF" w14:textId="77777777" w:rsidR="000648CF" w:rsidRPr="006D350B" w:rsidRDefault="000648CF">
      <w:pPr>
        <w:rPr>
          <w:color w:val="1F3864" w:themeColor="accent1" w:themeShade="80"/>
        </w:rPr>
      </w:pPr>
    </w:p>
    <w:p w14:paraId="1678FDB4" w14:textId="0F597758" w:rsidR="00A41A32" w:rsidRPr="006D350B" w:rsidRDefault="007F1171">
      <w:pPr>
        <w:rPr>
          <w:color w:val="1F3864" w:themeColor="accent1" w:themeShade="80"/>
        </w:rPr>
      </w:pPr>
      <w:r>
        <w:object w:dxaOrig="2670" w:dyaOrig="1070" w14:anchorId="7FECA968">
          <v:shape id="_x0000_i1025" type="#_x0000_t75" style="width:206pt;height:82.5pt" o:ole="">
            <v:imagedata r:id="rId9" o:title=""/>
          </v:shape>
          <o:OLEObject Type="Embed" ProgID="Paint.Picture" ShapeID="_x0000_i1025" DrawAspect="Content" ObjectID="_1717929593" r:id="rId10"/>
        </w:object>
      </w:r>
    </w:p>
    <w:p w14:paraId="1B659C43" w14:textId="77777777" w:rsidR="003E59CF" w:rsidRPr="006D350B" w:rsidRDefault="003E59CF" w:rsidP="003E59CF">
      <w:pPr>
        <w:jc w:val="both"/>
        <w:rPr>
          <w:rFonts w:ascii="Arial" w:hAnsi="Arial"/>
          <w:b/>
          <w:bCs/>
          <w:color w:val="1F3864" w:themeColor="accent1" w:themeShade="80"/>
          <w:sz w:val="20"/>
          <w:szCs w:val="20"/>
        </w:rPr>
      </w:pPr>
      <w:r w:rsidRPr="006D350B">
        <w:rPr>
          <w:rFonts w:ascii="Arial" w:hAnsi="Arial"/>
          <w:b/>
          <w:bCs/>
          <w:color w:val="1F3864" w:themeColor="accent1" w:themeShade="80"/>
          <w:sz w:val="20"/>
          <w:szCs w:val="20"/>
        </w:rPr>
        <w:t>EIT podpira ukrepe za povečanje števila podjetnic</w:t>
      </w:r>
    </w:p>
    <w:p w14:paraId="24286B04" w14:textId="77777777" w:rsidR="003E59CF" w:rsidRPr="006D350B" w:rsidRDefault="003E59CF" w:rsidP="003E59CF">
      <w:pPr>
        <w:jc w:val="both"/>
        <w:rPr>
          <w:rFonts w:ascii="Arial" w:hAnsi="Arial"/>
          <w:color w:val="1F3864" w:themeColor="accent1" w:themeShade="80"/>
          <w:sz w:val="20"/>
          <w:szCs w:val="20"/>
        </w:rPr>
      </w:pPr>
    </w:p>
    <w:p w14:paraId="3D9E4687" w14:textId="77777777" w:rsidR="003E59CF" w:rsidRPr="006D350B" w:rsidRDefault="003E59CF" w:rsidP="003E59CF">
      <w:pPr>
        <w:jc w:val="both"/>
        <w:rPr>
          <w:rFonts w:ascii="Arial" w:hAnsi="Arial"/>
          <w:color w:val="1F3864" w:themeColor="accent1" w:themeShade="80"/>
          <w:sz w:val="20"/>
          <w:szCs w:val="20"/>
        </w:rPr>
      </w:pPr>
      <w:r w:rsidRPr="006D350B">
        <w:rPr>
          <w:rFonts w:ascii="Arial" w:hAnsi="Arial"/>
          <w:color w:val="1F3864" w:themeColor="accent1" w:themeShade="80"/>
          <w:sz w:val="20"/>
          <w:szCs w:val="20"/>
        </w:rPr>
        <w:t xml:space="preserve">Evropski inštitut za inovacije in tehnologijo (EIT) prek skupnosti </w:t>
      </w:r>
      <w:proofErr w:type="spellStart"/>
      <w:r w:rsidRPr="006D350B">
        <w:rPr>
          <w:rFonts w:ascii="Arial" w:hAnsi="Arial"/>
          <w:color w:val="1F3864" w:themeColor="accent1" w:themeShade="80"/>
          <w:sz w:val="20"/>
          <w:szCs w:val="20"/>
        </w:rPr>
        <w:t>Supernovas</w:t>
      </w:r>
      <w:proofErr w:type="spellEnd"/>
      <w:r w:rsidRPr="006D350B">
        <w:rPr>
          <w:rFonts w:ascii="Arial" w:hAnsi="Arial"/>
          <w:color w:val="1F3864" w:themeColor="accent1" w:themeShade="80"/>
          <w:sz w:val="20"/>
          <w:szCs w:val="20"/>
        </w:rPr>
        <w:t xml:space="preserve"> podpira zagonska podjetja, ki jih ustanovijo ženske, s ciljem, da bi se več žensk odločilo za podjetništvo.</w:t>
      </w:r>
    </w:p>
    <w:p w14:paraId="7C048D38" w14:textId="77777777" w:rsidR="003E59CF" w:rsidRPr="006D350B" w:rsidRDefault="003E59CF" w:rsidP="003E59CF">
      <w:pPr>
        <w:jc w:val="both"/>
        <w:rPr>
          <w:rFonts w:ascii="Arial" w:hAnsi="Arial"/>
          <w:color w:val="1F3864" w:themeColor="accent1" w:themeShade="80"/>
          <w:sz w:val="20"/>
          <w:szCs w:val="20"/>
        </w:rPr>
      </w:pPr>
    </w:p>
    <w:p w14:paraId="55AA97ED" w14:textId="77777777" w:rsidR="003E59CF" w:rsidRPr="006D350B" w:rsidRDefault="003E59CF" w:rsidP="003E59CF">
      <w:pPr>
        <w:jc w:val="both"/>
        <w:rPr>
          <w:rFonts w:ascii="Arial" w:hAnsi="Arial"/>
          <w:color w:val="1F3864" w:themeColor="accent1" w:themeShade="80"/>
          <w:sz w:val="20"/>
          <w:szCs w:val="20"/>
        </w:rPr>
      </w:pPr>
      <w:r w:rsidRPr="006D350B">
        <w:rPr>
          <w:rFonts w:ascii="Arial" w:hAnsi="Arial"/>
          <w:color w:val="1F3864" w:themeColor="accent1" w:themeShade="80"/>
          <w:sz w:val="20"/>
          <w:szCs w:val="20"/>
        </w:rPr>
        <w:t>Več:</w:t>
      </w:r>
    </w:p>
    <w:p w14:paraId="0C933F3C" w14:textId="77777777" w:rsidR="003E59CF" w:rsidRPr="006D350B" w:rsidRDefault="003E59CF" w:rsidP="003E59CF">
      <w:pPr>
        <w:jc w:val="both"/>
        <w:rPr>
          <w:rFonts w:ascii="Arial" w:hAnsi="Arial"/>
          <w:color w:val="1F3864" w:themeColor="accent1" w:themeShade="80"/>
          <w:sz w:val="20"/>
          <w:szCs w:val="20"/>
        </w:rPr>
      </w:pPr>
      <w:hyperlink r:id="rId11" w:history="1">
        <w:r w:rsidRPr="006D350B">
          <w:rPr>
            <w:rStyle w:val="Hyperlink"/>
            <w:rFonts w:ascii="Arial" w:hAnsi="Arial"/>
            <w:color w:val="FFC000"/>
            <w:sz w:val="20"/>
            <w:szCs w:val="20"/>
          </w:rPr>
          <w:t>Predstavitev podpor</w:t>
        </w:r>
      </w:hyperlink>
    </w:p>
    <w:p w14:paraId="314E1418" w14:textId="58F1C95A" w:rsidR="003E59CF" w:rsidRDefault="003E59CF">
      <w:pPr>
        <w:rPr>
          <w:color w:val="1F3864" w:themeColor="accent1" w:themeShade="80"/>
        </w:rPr>
      </w:pPr>
    </w:p>
    <w:p w14:paraId="4EC67A1B" w14:textId="77777777" w:rsidR="000648CF" w:rsidRDefault="000648CF">
      <w:pPr>
        <w:rPr>
          <w:color w:val="1F3864" w:themeColor="accent1" w:themeShade="80"/>
        </w:rPr>
      </w:pPr>
    </w:p>
    <w:p w14:paraId="068C9F51" w14:textId="1E0CD176" w:rsidR="003E59CF" w:rsidRPr="006D350B" w:rsidRDefault="00884764">
      <w:pPr>
        <w:rPr>
          <w:color w:val="1F3864" w:themeColor="accent1" w:themeShade="80"/>
        </w:rPr>
      </w:pPr>
      <w:r>
        <w:object w:dxaOrig="2670" w:dyaOrig="1070" w14:anchorId="5C9FBC73">
          <v:shape id="_x0000_i1027" type="#_x0000_t75" style="width:206pt;height:82.5pt" o:ole="">
            <v:imagedata r:id="rId12" o:title=""/>
          </v:shape>
          <o:OLEObject Type="Embed" ProgID="Paint.Picture" ShapeID="_x0000_i1027" DrawAspect="Content" ObjectID="_1717929594" r:id="rId13"/>
        </w:object>
      </w:r>
    </w:p>
    <w:p w14:paraId="0C5E9A3D" w14:textId="77777777" w:rsidR="007B4868" w:rsidRPr="006D350B" w:rsidRDefault="007B4868" w:rsidP="007B4868">
      <w:pPr>
        <w:jc w:val="both"/>
        <w:rPr>
          <w:rFonts w:ascii="Arial" w:hAnsi="Arial"/>
          <w:b/>
          <w:bCs/>
          <w:color w:val="1F3864" w:themeColor="accent1" w:themeShade="80"/>
          <w:sz w:val="20"/>
          <w:szCs w:val="20"/>
        </w:rPr>
      </w:pPr>
      <w:r w:rsidRPr="006D350B">
        <w:rPr>
          <w:rFonts w:ascii="Arial" w:hAnsi="Arial"/>
          <w:b/>
          <w:bCs/>
          <w:color w:val="1F3864" w:themeColor="accent1" w:themeShade="80"/>
          <w:sz w:val="20"/>
          <w:szCs w:val="20"/>
        </w:rPr>
        <w:t>Evropska komisija je pripravila predlog proračuna EU za leto 2023</w:t>
      </w:r>
    </w:p>
    <w:p w14:paraId="244FBE53" w14:textId="77777777" w:rsidR="007B4868" w:rsidRPr="006D350B" w:rsidRDefault="007B4868" w:rsidP="007B4868">
      <w:pPr>
        <w:jc w:val="both"/>
        <w:rPr>
          <w:rFonts w:ascii="Arial" w:hAnsi="Arial"/>
          <w:color w:val="1F3864" w:themeColor="accent1" w:themeShade="80"/>
          <w:sz w:val="20"/>
          <w:szCs w:val="20"/>
        </w:rPr>
      </w:pPr>
    </w:p>
    <w:p w14:paraId="2245376B" w14:textId="77777777" w:rsidR="007B4868" w:rsidRPr="006D350B" w:rsidRDefault="007B4868" w:rsidP="007B4868">
      <w:pPr>
        <w:jc w:val="both"/>
        <w:rPr>
          <w:rFonts w:ascii="Arial" w:hAnsi="Arial"/>
          <w:color w:val="1F3864" w:themeColor="accent1" w:themeShade="80"/>
          <w:sz w:val="20"/>
          <w:szCs w:val="20"/>
        </w:rPr>
      </w:pPr>
      <w:r w:rsidRPr="006D350B">
        <w:rPr>
          <w:rFonts w:ascii="Arial" w:hAnsi="Arial"/>
          <w:color w:val="1F3864" w:themeColor="accent1" w:themeShade="80"/>
          <w:sz w:val="20"/>
          <w:szCs w:val="20"/>
        </w:rPr>
        <w:t xml:space="preserve">Evropska komisija je predlagala letni proračun EU v višini 185,6 milijarde evrov za leto 2023, ki bo dopolnjen s približno 113,9 milijarde evrov v obliki nepovratnih sredstev v okviru instrumenta </w:t>
      </w:r>
      <w:proofErr w:type="spellStart"/>
      <w:r w:rsidRPr="006D350B">
        <w:rPr>
          <w:rFonts w:ascii="Arial" w:hAnsi="Arial"/>
          <w:color w:val="1F3864" w:themeColor="accent1" w:themeShade="80"/>
          <w:sz w:val="20"/>
          <w:szCs w:val="20"/>
        </w:rPr>
        <w:t>NextGenerationEU</w:t>
      </w:r>
      <w:proofErr w:type="spellEnd"/>
      <w:r w:rsidRPr="006D350B">
        <w:rPr>
          <w:rFonts w:ascii="Arial" w:hAnsi="Arial"/>
          <w:color w:val="1F3864" w:themeColor="accent1" w:themeShade="80"/>
          <w:sz w:val="20"/>
          <w:szCs w:val="20"/>
        </w:rPr>
        <w:t xml:space="preserve">. </w:t>
      </w:r>
    </w:p>
    <w:p w14:paraId="546BBF5D" w14:textId="77777777" w:rsidR="007B4868" w:rsidRPr="006D350B" w:rsidRDefault="007B4868" w:rsidP="007B4868">
      <w:pPr>
        <w:jc w:val="both"/>
        <w:rPr>
          <w:rFonts w:ascii="Arial" w:hAnsi="Arial"/>
          <w:color w:val="1F3864" w:themeColor="accent1" w:themeShade="80"/>
          <w:sz w:val="20"/>
          <w:szCs w:val="20"/>
        </w:rPr>
      </w:pPr>
    </w:p>
    <w:p w14:paraId="4499352B" w14:textId="77777777" w:rsidR="007B4868" w:rsidRPr="006D350B" w:rsidRDefault="007B4868" w:rsidP="007B4868">
      <w:pPr>
        <w:jc w:val="both"/>
        <w:rPr>
          <w:rFonts w:ascii="Arial" w:hAnsi="Arial"/>
          <w:color w:val="1F3864" w:themeColor="accent1" w:themeShade="80"/>
          <w:sz w:val="20"/>
          <w:szCs w:val="20"/>
        </w:rPr>
      </w:pPr>
      <w:r w:rsidRPr="006D350B">
        <w:rPr>
          <w:rFonts w:ascii="Arial" w:hAnsi="Arial"/>
          <w:color w:val="1F3864" w:themeColor="accent1" w:themeShade="80"/>
          <w:sz w:val="20"/>
          <w:szCs w:val="20"/>
        </w:rPr>
        <w:t>Več:</w:t>
      </w:r>
    </w:p>
    <w:p w14:paraId="4499790E" w14:textId="7A844CC5" w:rsidR="007B4868" w:rsidRPr="006D350B" w:rsidRDefault="007B4868" w:rsidP="007B4868">
      <w:pPr>
        <w:jc w:val="both"/>
        <w:rPr>
          <w:rStyle w:val="Hyperlink"/>
          <w:rFonts w:ascii="Arial" w:hAnsi="Arial"/>
          <w:color w:val="FFC000"/>
          <w:sz w:val="20"/>
          <w:szCs w:val="20"/>
        </w:rPr>
      </w:pPr>
      <w:hyperlink r:id="rId14" w:history="1">
        <w:r w:rsidRPr="006D350B">
          <w:rPr>
            <w:rStyle w:val="Hyperlink"/>
            <w:rFonts w:ascii="Arial" w:hAnsi="Arial"/>
            <w:color w:val="FFC000"/>
            <w:sz w:val="20"/>
            <w:szCs w:val="20"/>
          </w:rPr>
          <w:t>Proračunski dokumenti</w:t>
        </w:r>
      </w:hyperlink>
    </w:p>
    <w:p w14:paraId="40820C0A" w14:textId="77777777" w:rsidR="007B4868" w:rsidRPr="006D350B" w:rsidRDefault="007B4868" w:rsidP="007B4868">
      <w:pPr>
        <w:jc w:val="both"/>
        <w:rPr>
          <w:rFonts w:ascii="Arial" w:hAnsi="Arial"/>
          <w:color w:val="1F3864" w:themeColor="accent1" w:themeShade="80"/>
          <w:sz w:val="20"/>
          <w:szCs w:val="20"/>
        </w:rPr>
      </w:pPr>
    </w:p>
    <w:p w14:paraId="599653D4" w14:textId="77777777" w:rsidR="000648CF" w:rsidRDefault="000648CF" w:rsidP="007B4868">
      <w:pPr>
        <w:jc w:val="both"/>
      </w:pPr>
    </w:p>
    <w:p w14:paraId="62FB59FC" w14:textId="2F4733AE" w:rsidR="00341A52" w:rsidRPr="006D350B" w:rsidRDefault="00341A52" w:rsidP="007B4868">
      <w:pPr>
        <w:jc w:val="both"/>
        <w:rPr>
          <w:rFonts w:ascii="Arial" w:hAnsi="Arial"/>
          <w:color w:val="1F3864" w:themeColor="accent1" w:themeShade="80"/>
          <w:sz w:val="20"/>
          <w:szCs w:val="20"/>
        </w:rPr>
      </w:pPr>
      <w:r>
        <w:object w:dxaOrig="2670" w:dyaOrig="1070" w14:anchorId="1466E201">
          <v:shape id="_x0000_i1029" type="#_x0000_t75" style="width:203pt;height:81.5pt" o:ole="">
            <v:imagedata r:id="rId15" o:title=""/>
          </v:shape>
          <o:OLEObject Type="Embed" ProgID="Paint.Picture" ShapeID="_x0000_i1029" DrawAspect="Content" ObjectID="_1717929595" r:id="rId16"/>
        </w:object>
      </w:r>
    </w:p>
    <w:p w14:paraId="17E3D1D8" w14:textId="77777777" w:rsidR="007B4868" w:rsidRPr="006D350B" w:rsidRDefault="007B4868" w:rsidP="007B4868">
      <w:pPr>
        <w:jc w:val="both"/>
        <w:rPr>
          <w:rFonts w:ascii="Arial" w:hAnsi="Arial"/>
          <w:b/>
          <w:bCs/>
          <w:color w:val="1F3864" w:themeColor="accent1" w:themeShade="80"/>
          <w:sz w:val="20"/>
          <w:szCs w:val="20"/>
        </w:rPr>
      </w:pPr>
      <w:r w:rsidRPr="006D350B">
        <w:rPr>
          <w:rFonts w:ascii="Arial" w:hAnsi="Arial"/>
          <w:b/>
          <w:bCs/>
          <w:color w:val="1F3864" w:themeColor="accent1" w:themeShade="80"/>
          <w:sz w:val="20"/>
          <w:szCs w:val="20"/>
        </w:rPr>
        <w:t>Dosežen je dogovor o direktivi za večjo enakopravnost spolov v upravnih odborih</w:t>
      </w:r>
    </w:p>
    <w:p w14:paraId="19F60564" w14:textId="77777777" w:rsidR="007B4868" w:rsidRPr="006D350B" w:rsidRDefault="007B4868" w:rsidP="007B4868">
      <w:pPr>
        <w:jc w:val="both"/>
        <w:rPr>
          <w:rFonts w:ascii="Arial" w:hAnsi="Arial"/>
          <w:color w:val="1F3864" w:themeColor="accent1" w:themeShade="80"/>
          <w:sz w:val="20"/>
          <w:szCs w:val="20"/>
        </w:rPr>
      </w:pPr>
    </w:p>
    <w:p w14:paraId="0E399078" w14:textId="77777777" w:rsidR="007B4868" w:rsidRPr="006D350B" w:rsidRDefault="007B4868" w:rsidP="007B4868">
      <w:pPr>
        <w:jc w:val="both"/>
        <w:rPr>
          <w:rFonts w:ascii="Arial" w:hAnsi="Arial"/>
          <w:color w:val="1F3864" w:themeColor="accent1" w:themeShade="80"/>
          <w:sz w:val="20"/>
          <w:szCs w:val="20"/>
        </w:rPr>
      </w:pPr>
      <w:r w:rsidRPr="006D350B">
        <w:rPr>
          <w:rFonts w:ascii="Arial" w:hAnsi="Arial"/>
          <w:color w:val="1F3864" w:themeColor="accent1" w:themeShade="80"/>
          <w:sz w:val="20"/>
          <w:szCs w:val="20"/>
        </w:rPr>
        <w:t xml:space="preserve">Vsaj 40 odstotkov </w:t>
      </w:r>
      <w:proofErr w:type="spellStart"/>
      <w:r w:rsidRPr="006D350B">
        <w:rPr>
          <w:rFonts w:ascii="Arial" w:hAnsi="Arial"/>
          <w:color w:val="1F3864" w:themeColor="accent1" w:themeShade="80"/>
          <w:sz w:val="20"/>
          <w:szCs w:val="20"/>
        </w:rPr>
        <w:t>neizvršnih</w:t>
      </w:r>
      <w:proofErr w:type="spellEnd"/>
      <w:r w:rsidRPr="006D350B">
        <w:rPr>
          <w:rFonts w:ascii="Arial" w:hAnsi="Arial"/>
          <w:color w:val="1F3864" w:themeColor="accent1" w:themeShade="80"/>
          <w:sz w:val="20"/>
          <w:szCs w:val="20"/>
        </w:rPr>
        <w:t xml:space="preserve"> direktorskih mest ali 33 odstotkov vseh direktorskih mest bo moralo biti zasedenih s strani žensk, v skladu z dogovorom, ki sta ga dosegla Svet EU, ki med evropskimi institucijami zastopa države članice, in Evropski parlament. Direktivo morata Svet EU in Evropski parlament še formalno sprejeti.</w:t>
      </w:r>
    </w:p>
    <w:p w14:paraId="5167F57A" w14:textId="77777777" w:rsidR="007B4868" w:rsidRPr="006D350B" w:rsidRDefault="007B4868" w:rsidP="007B4868">
      <w:pPr>
        <w:jc w:val="both"/>
        <w:rPr>
          <w:rFonts w:ascii="Arial" w:hAnsi="Arial"/>
          <w:color w:val="1F3864" w:themeColor="accent1" w:themeShade="80"/>
          <w:sz w:val="20"/>
          <w:szCs w:val="20"/>
        </w:rPr>
      </w:pPr>
    </w:p>
    <w:p w14:paraId="1C4137C4" w14:textId="77777777" w:rsidR="007B4868" w:rsidRPr="006D350B" w:rsidRDefault="007B4868" w:rsidP="007B4868">
      <w:pPr>
        <w:jc w:val="both"/>
        <w:rPr>
          <w:rFonts w:ascii="Arial" w:hAnsi="Arial"/>
          <w:color w:val="1F3864" w:themeColor="accent1" w:themeShade="80"/>
          <w:sz w:val="20"/>
          <w:szCs w:val="20"/>
        </w:rPr>
      </w:pPr>
      <w:r w:rsidRPr="006D350B">
        <w:rPr>
          <w:rFonts w:ascii="Arial" w:hAnsi="Arial"/>
          <w:color w:val="1F3864" w:themeColor="accent1" w:themeShade="80"/>
          <w:sz w:val="20"/>
          <w:szCs w:val="20"/>
        </w:rPr>
        <w:t>Več:</w:t>
      </w:r>
    </w:p>
    <w:p w14:paraId="0D052A01" w14:textId="01891E47" w:rsidR="007B4868" w:rsidRPr="006D350B" w:rsidRDefault="007B4868" w:rsidP="007B4868">
      <w:pPr>
        <w:jc w:val="both"/>
        <w:rPr>
          <w:rStyle w:val="Hyperlink"/>
          <w:rFonts w:ascii="Arial" w:hAnsi="Arial"/>
          <w:color w:val="FFC000"/>
          <w:sz w:val="20"/>
          <w:szCs w:val="20"/>
        </w:rPr>
      </w:pPr>
      <w:hyperlink r:id="rId17" w:history="1">
        <w:r w:rsidRPr="006D350B">
          <w:rPr>
            <w:rStyle w:val="Hyperlink"/>
            <w:rFonts w:ascii="Arial" w:hAnsi="Arial"/>
            <w:color w:val="FFC000"/>
            <w:sz w:val="20"/>
            <w:szCs w:val="20"/>
          </w:rPr>
          <w:t>Sporočilo Evropskega parlamenta</w:t>
        </w:r>
      </w:hyperlink>
    </w:p>
    <w:p w14:paraId="045B454A" w14:textId="771AE000" w:rsidR="007B4868" w:rsidRDefault="007B4868" w:rsidP="007B4868">
      <w:pPr>
        <w:jc w:val="both"/>
        <w:rPr>
          <w:rStyle w:val="Hyperlink"/>
          <w:rFonts w:ascii="Arial" w:hAnsi="Arial"/>
          <w:color w:val="1F3864" w:themeColor="accent1" w:themeShade="80"/>
          <w:sz w:val="20"/>
          <w:szCs w:val="20"/>
        </w:rPr>
      </w:pPr>
    </w:p>
    <w:p w14:paraId="5D106718" w14:textId="77777777" w:rsidR="000648CF" w:rsidRPr="006D350B" w:rsidRDefault="000648CF" w:rsidP="007B4868">
      <w:pPr>
        <w:jc w:val="both"/>
        <w:rPr>
          <w:rStyle w:val="Hyperlink"/>
          <w:rFonts w:ascii="Arial" w:hAnsi="Arial"/>
          <w:color w:val="1F3864" w:themeColor="accent1" w:themeShade="80"/>
          <w:sz w:val="20"/>
          <w:szCs w:val="20"/>
        </w:rPr>
      </w:pPr>
    </w:p>
    <w:p w14:paraId="6D8F280D" w14:textId="5A25BE09" w:rsidR="004E442B" w:rsidRPr="006D350B" w:rsidRDefault="004E442B" w:rsidP="007B4868">
      <w:pPr>
        <w:jc w:val="both"/>
        <w:rPr>
          <w:rStyle w:val="Hyperlink"/>
          <w:rFonts w:ascii="Arial" w:hAnsi="Arial"/>
          <w:color w:val="1F3864" w:themeColor="accent1" w:themeShade="80"/>
          <w:sz w:val="20"/>
          <w:szCs w:val="20"/>
        </w:rPr>
      </w:pPr>
      <w:r>
        <w:object w:dxaOrig="2670" w:dyaOrig="1070" w14:anchorId="51D8B96D">
          <v:shape id="_x0000_i1031" type="#_x0000_t75" style="width:203.5pt;height:81.5pt" o:ole="">
            <v:imagedata r:id="rId18" o:title=""/>
          </v:shape>
          <o:OLEObject Type="Embed" ProgID="Paint.Picture" ShapeID="_x0000_i1031" DrawAspect="Content" ObjectID="_1717929596" r:id="rId19"/>
        </w:object>
      </w:r>
    </w:p>
    <w:p w14:paraId="45DDBED2" w14:textId="77777777" w:rsidR="007B4868" w:rsidRPr="006D350B" w:rsidRDefault="007B4868" w:rsidP="007B4868">
      <w:pPr>
        <w:jc w:val="both"/>
        <w:rPr>
          <w:rFonts w:ascii="Arial" w:hAnsi="Arial"/>
          <w:b/>
          <w:bCs/>
          <w:color w:val="1F3864" w:themeColor="accent1" w:themeShade="80"/>
          <w:sz w:val="20"/>
          <w:szCs w:val="20"/>
        </w:rPr>
      </w:pPr>
      <w:r w:rsidRPr="006D350B">
        <w:rPr>
          <w:rFonts w:ascii="Arial" w:hAnsi="Arial"/>
          <w:b/>
          <w:bCs/>
          <w:color w:val="1F3864" w:themeColor="accent1" w:themeShade="80"/>
          <w:sz w:val="20"/>
          <w:szCs w:val="20"/>
        </w:rPr>
        <w:t>Dosežen je dogovor o direktivi o minimalni plači v EU</w:t>
      </w:r>
    </w:p>
    <w:p w14:paraId="66EE6550" w14:textId="77777777" w:rsidR="007B4868" w:rsidRPr="006D350B" w:rsidRDefault="007B4868" w:rsidP="007B4868">
      <w:pPr>
        <w:jc w:val="both"/>
        <w:rPr>
          <w:rFonts w:ascii="Arial" w:hAnsi="Arial"/>
          <w:color w:val="1F3864" w:themeColor="accent1" w:themeShade="80"/>
          <w:sz w:val="20"/>
          <w:szCs w:val="20"/>
        </w:rPr>
      </w:pPr>
    </w:p>
    <w:p w14:paraId="62B1A4E6" w14:textId="77777777" w:rsidR="007B4868" w:rsidRPr="006D350B" w:rsidRDefault="007B4868" w:rsidP="007B4868">
      <w:pPr>
        <w:jc w:val="both"/>
        <w:rPr>
          <w:rFonts w:ascii="Arial" w:hAnsi="Arial"/>
          <w:color w:val="1F3864" w:themeColor="accent1" w:themeShade="80"/>
          <w:sz w:val="20"/>
          <w:szCs w:val="20"/>
        </w:rPr>
      </w:pPr>
      <w:r w:rsidRPr="006D350B">
        <w:rPr>
          <w:rFonts w:ascii="Arial" w:hAnsi="Arial"/>
          <w:color w:val="1F3864" w:themeColor="accent1" w:themeShade="80"/>
          <w:sz w:val="20"/>
          <w:szCs w:val="20"/>
        </w:rPr>
        <w:t>Svet EU, ki med evropskimi institucijami predstavlja države članice, in Evropski parlament sta dosegla dogovor o direktivi o minimalni plači, po kateri bodo morale države članice oceniti, ali njihove obstoječe zakonsko določene minimalne plače (najnižje zakonsko dovoljene plače) zadostujejo za zagotavljanje dostojnega življenjskega standarda, ob upoštevanju lastnih socialno-ekonomskih razmer, kupne moči ali dolgoročnih nacionalnih ravni produktivnosti in razvoja. Zdaj sledi postopek za sprejem direktive.</w:t>
      </w:r>
    </w:p>
    <w:p w14:paraId="540FE88A" w14:textId="77777777" w:rsidR="007B4868" w:rsidRPr="006D350B" w:rsidRDefault="007B4868" w:rsidP="007B4868">
      <w:pPr>
        <w:jc w:val="both"/>
        <w:rPr>
          <w:rFonts w:ascii="Arial" w:hAnsi="Arial"/>
          <w:color w:val="1F3864" w:themeColor="accent1" w:themeShade="80"/>
          <w:sz w:val="20"/>
          <w:szCs w:val="20"/>
        </w:rPr>
      </w:pPr>
    </w:p>
    <w:p w14:paraId="0158DFF0" w14:textId="77777777" w:rsidR="007B4868" w:rsidRPr="006D350B" w:rsidRDefault="007B4868" w:rsidP="007B4868">
      <w:pPr>
        <w:jc w:val="both"/>
        <w:rPr>
          <w:rFonts w:ascii="Arial" w:hAnsi="Arial"/>
          <w:color w:val="1F3864" w:themeColor="accent1" w:themeShade="80"/>
          <w:sz w:val="20"/>
          <w:szCs w:val="20"/>
        </w:rPr>
      </w:pPr>
      <w:r w:rsidRPr="006D350B">
        <w:rPr>
          <w:rFonts w:ascii="Arial" w:hAnsi="Arial"/>
          <w:color w:val="1F3864" w:themeColor="accent1" w:themeShade="80"/>
          <w:sz w:val="20"/>
          <w:szCs w:val="20"/>
        </w:rPr>
        <w:t>Več:</w:t>
      </w:r>
    </w:p>
    <w:p w14:paraId="49939995" w14:textId="72DC0B92" w:rsidR="007B4868" w:rsidRPr="006D350B" w:rsidRDefault="007B4868" w:rsidP="007B4868">
      <w:pPr>
        <w:jc w:val="both"/>
        <w:rPr>
          <w:rStyle w:val="Hyperlink"/>
          <w:rFonts w:ascii="Arial" w:hAnsi="Arial"/>
          <w:color w:val="FFC000"/>
          <w:sz w:val="20"/>
          <w:szCs w:val="20"/>
        </w:rPr>
      </w:pPr>
      <w:hyperlink r:id="rId20" w:history="1">
        <w:r w:rsidRPr="006D350B">
          <w:rPr>
            <w:rStyle w:val="Hyperlink"/>
            <w:rFonts w:ascii="Arial" w:hAnsi="Arial"/>
            <w:color w:val="FFC000"/>
            <w:sz w:val="20"/>
            <w:szCs w:val="20"/>
          </w:rPr>
          <w:t>Sporočilo Evropskega parlamenta</w:t>
        </w:r>
      </w:hyperlink>
    </w:p>
    <w:p w14:paraId="7EB4D48D" w14:textId="594FF0BD" w:rsidR="00500527" w:rsidRDefault="00500527" w:rsidP="007B4868">
      <w:pPr>
        <w:jc w:val="both"/>
        <w:rPr>
          <w:rStyle w:val="Hyperlink"/>
          <w:rFonts w:ascii="Arial" w:hAnsi="Arial"/>
          <w:color w:val="1F3864" w:themeColor="accent1" w:themeShade="80"/>
          <w:sz w:val="20"/>
          <w:szCs w:val="20"/>
        </w:rPr>
      </w:pPr>
    </w:p>
    <w:p w14:paraId="6AD36783" w14:textId="77777777" w:rsidR="000648CF" w:rsidRPr="006D350B" w:rsidRDefault="000648CF" w:rsidP="007B4868">
      <w:pPr>
        <w:jc w:val="both"/>
        <w:rPr>
          <w:rStyle w:val="Hyperlink"/>
          <w:rFonts w:ascii="Arial" w:hAnsi="Arial"/>
          <w:color w:val="1F3864" w:themeColor="accent1" w:themeShade="80"/>
          <w:sz w:val="20"/>
          <w:szCs w:val="20"/>
        </w:rPr>
      </w:pPr>
    </w:p>
    <w:p w14:paraId="3353B00D" w14:textId="35A9FA7C" w:rsidR="000648CF" w:rsidRPr="006D350B" w:rsidRDefault="000648CF" w:rsidP="007B4868">
      <w:pPr>
        <w:jc w:val="both"/>
        <w:rPr>
          <w:rStyle w:val="Hyperlink"/>
          <w:rFonts w:ascii="Arial" w:hAnsi="Arial"/>
          <w:color w:val="1F3864" w:themeColor="accent1" w:themeShade="80"/>
          <w:sz w:val="20"/>
          <w:szCs w:val="20"/>
        </w:rPr>
      </w:pPr>
      <w:r>
        <w:object w:dxaOrig="2670" w:dyaOrig="1070" w14:anchorId="4F01142E">
          <v:shape id="_x0000_i1033" type="#_x0000_t75" style="width:203.5pt;height:81.5pt" o:ole="">
            <v:imagedata r:id="rId21" o:title=""/>
          </v:shape>
          <o:OLEObject Type="Embed" ProgID="Paint.Picture" ShapeID="_x0000_i1033" DrawAspect="Content" ObjectID="_1717929597" r:id="rId22"/>
        </w:object>
      </w:r>
    </w:p>
    <w:p w14:paraId="0183E277" w14:textId="77777777" w:rsidR="00500527" w:rsidRPr="006D350B" w:rsidRDefault="00500527" w:rsidP="00500527">
      <w:pPr>
        <w:jc w:val="both"/>
        <w:rPr>
          <w:rFonts w:ascii="Arial" w:hAnsi="Arial"/>
          <w:b/>
          <w:bCs/>
          <w:color w:val="1F3864" w:themeColor="accent1" w:themeShade="80"/>
          <w:sz w:val="20"/>
          <w:szCs w:val="20"/>
        </w:rPr>
      </w:pPr>
      <w:r w:rsidRPr="006D350B">
        <w:rPr>
          <w:rFonts w:ascii="Arial" w:hAnsi="Arial"/>
          <w:b/>
          <w:bCs/>
          <w:color w:val="1F3864" w:themeColor="accent1" w:themeShade="80"/>
          <w:sz w:val="20"/>
          <w:szCs w:val="20"/>
        </w:rPr>
        <w:t>Objavljena so imena 27 kandidatov za evropsko podjetniško nagrado</w:t>
      </w:r>
    </w:p>
    <w:p w14:paraId="3B93A0AF" w14:textId="77777777" w:rsidR="00500527" w:rsidRPr="006D350B" w:rsidRDefault="00500527" w:rsidP="00500527">
      <w:pPr>
        <w:jc w:val="both"/>
        <w:rPr>
          <w:rFonts w:ascii="Arial" w:hAnsi="Arial"/>
          <w:color w:val="1F3864" w:themeColor="accent1" w:themeShade="80"/>
          <w:sz w:val="20"/>
          <w:szCs w:val="20"/>
        </w:rPr>
      </w:pPr>
    </w:p>
    <w:p w14:paraId="29882EEC" w14:textId="77777777" w:rsidR="00500527" w:rsidRPr="006D350B" w:rsidRDefault="00500527" w:rsidP="00500527">
      <w:pPr>
        <w:jc w:val="both"/>
        <w:rPr>
          <w:rFonts w:ascii="Arial" w:hAnsi="Arial"/>
          <w:color w:val="1F3864" w:themeColor="accent1" w:themeShade="80"/>
          <w:sz w:val="20"/>
          <w:szCs w:val="20"/>
        </w:rPr>
      </w:pPr>
      <w:r w:rsidRPr="006D350B">
        <w:rPr>
          <w:rFonts w:ascii="Arial" w:hAnsi="Arial"/>
          <w:color w:val="1F3864" w:themeColor="accent1" w:themeShade="80"/>
          <w:sz w:val="20"/>
          <w:szCs w:val="20"/>
        </w:rPr>
        <w:t>Evropski inštitut za inovacije in tehnologijo (EIT) je objavil imena 27 obetavnih podjetnikov in inovatorjev, ki kandidirajo za evropsko podjetniško nagrado 2022. Kandidati prihajajo iz 15 držav med katerimi ni Slovenije.</w:t>
      </w:r>
    </w:p>
    <w:p w14:paraId="687CCE67" w14:textId="77777777" w:rsidR="00500527" w:rsidRPr="006D350B" w:rsidRDefault="00500527" w:rsidP="00500527">
      <w:pPr>
        <w:jc w:val="both"/>
        <w:rPr>
          <w:rFonts w:ascii="Arial" w:hAnsi="Arial"/>
          <w:color w:val="1F3864" w:themeColor="accent1" w:themeShade="80"/>
          <w:sz w:val="20"/>
          <w:szCs w:val="20"/>
        </w:rPr>
      </w:pPr>
    </w:p>
    <w:p w14:paraId="170727E0" w14:textId="77777777" w:rsidR="00500527" w:rsidRPr="006D350B" w:rsidRDefault="00500527" w:rsidP="00500527">
      <w:pPr>
        <w:jc w:val="both"/>
        <w:rPr>
          <w:rFonts w:ascii="Arial" w:hAnsi="Arial"/>
          <w:color w:val="1F3864" w:themeColor="accent1" w:themeShade="80"/>
          <w:sz w:val="20"/>
          <w:szCs w:val="20"/>
        </w:rPr>
      </w:pPr>
      <w:r w:rsidRPr="006D350B">
        <w:rPr>
          <w:rFonts w:ascii="Arial" w:hAnsi="Arial"/>
          <w:color w:val="1F3864" w:themeColor="accent1" w:themeShade="80"/>
          <w:sz w:val="20"/>
          <w:szCs w:val="20"/>
        </w:rPr>
        <w:t>Več:</w:t>
      </w:r>
    </w:p>
    <w:p w14:paraId="089189C8" w14:textId="77777777" w:rsidR="00500527" w:rsidRPr="006D350B" w:rsidRDefault="00500527" w:rsidP="00500527">
      <w:pPr>
        <w:jc w:val="both"/>
        <w:rPr>
          <w:rFonts w:ascii="Arial" w:hAnsi="Arial"/>
          <w:color w:val="FFC000"/>
          <w:sz w:val="20"/>
          <w:szCs w:val="20"/>
        </w:rPr>
      </w:pPr>
      <w:hyperlink r:id="rId23" w:history="1">
        <w:r w:rsidRPr="006D350B">
          <w:rPr>
            <w:rStyle w:val="Hyperlink"/>
            <w:rFonts w:ascii="Arial" w:hAnsi="Arial"/>
            <w:color w:val="FFC000"/>
            <w:sz w:val="20"/>
            <w:szCs w:val="20"/>
          </w:rPr>
          <w:t>Sporočilo s povezavo na seznam kandidatov z opisi njihovih inovacij</w:t>
        </w:r>
      </w:hyperlink>
    </w:p>
    <w:p w14:paraId="368AAFB7" w14:textId="4B36F929" w:rsidR="00500527" w:rsidRDefault="00500527" w:rsidP="007B4868">
      <w:pPr>
        <w:jc w:val="both"/>
        <w:rPr>
          <w:rFonts w:ascii="Arial" w:hAnsi="Arial"/>
          <w:color w:val="1F3864" w:themeColor="accent1" w:themeShade="80"/>
          <w:sz w:val="20"/>
          <w:szCs w:val="20"/>
        </w:rPr>
      </w:pPr>
    </w:p>
    <w:p w14:paraId="17017B61" w14:textId="77777777" w:rsidR="000648CF" w:rsidRPr="006D350B" w:rsidRDefault="000648CF" w:rsidP="007B4868">
      <w:pPr>
        <w:jc w:val="both"/>
        <w:rPr>
          <w:rFonts w:ascii="Arial" w:hAnsi="Arial"/>
          <w:color w:val="1F3864" w:themeColor="accent1" w:themeShade="80"/>
          <w:sz w:val="20"/>
          <w:szCs w:val="20"/>
        </w:rPr>
      </w:pPr>
    </w:p>
    <w:p w14:paraId="4C61FBD5" w14:textId="4D1D7B00" w:rsidR="0092788A" w:rsidRPr="006D350B" w:rsidRDefault="000648CF" w:rsidP="007B4868">
      <w:pPr>
        <w:jc w:val="both"/>
        <w:rPr>
          <w:rFonts w:ascii="Arial" w:hAnsi="Arial"/>
          <w:color w:val="1F3864" w:themeColor="accent1" w:themeShade="80"/>
          <w:sz w:val="20"/>
          <w:szCs w:val="20"/>
        </w:rPr>
      </w:pPr>
      <w:r>
        <w:object w:dxaOrig="2670" w:dyaOrig="1070" w14:anchorId="5A8D8070">
          <v:shape id="_x0000_i1035" type="#_x0000_t75" style="width:204pt;height:81.5pt" o:ole="">
            <v:imagedata r:id="rId24" o:title=""/>
          </v:shape>
          <o:OLEObject Type="Embed" ProgID="Paint.Picture" ShapeID="_x0000_i1035" DrawAspect="Content" ObjectID="_1717929598" r:id="rId25"/>
        </w:object>
      </w:r>
    </w:p>
    <w:p w14:paraId="24975243" w14:textId="77777777" w:rsidR="0092788A" w:rsidRPr="006D350B" w:rsidRDefault="0092788A" w:rsidP="0092788A">
      <w:pPr>
        <w:jc w:val="both"/>
        <w:rPr>
          <w:rFonts w:ascii="Arial" w:hAnsi="Arial"/>
          <w:b/>
          <w:bCs/>
          <w:color w:val="1F3864" w:themeColor="accent1" w:themeShade="80"/>
          <w:sz w:val="20"/>
          <w:szCs w:val="20"/>
        </w:rPr>
      </w:pPr>
      <w:r w:rsidRPr="006D350B">
        <w:rPr>
          <w:rFonts w:ascii="Arial" w:hAnsi="Arial"/>
          <w:b/>
          <w:bCs/>
          <w:color w:val="1F3864" w:themeColor="accent1" w:themeShade="80"/>
          <w:sz w:val="20"/>
          <w:szCs w:val="20"/>
        </w:rPr>
        <w:t>Študija o izboljšanju uporabe kazalnikov za posamezne programe v ESS in ESS+</w:t>
      </w:r>
    </w:p>
    <w:p w14:paraId="5C3B941A" w14:textId="77777777" w:rsidR="0092788A" w:rsidRPr="006D350B" w:rsidRDefault="0092788A" w:rsidP="0092788A">
      <w:pPr>
        <w:jc w:val="both"/>
        <w:rPr>
          <w:rFonts w:ascii="Arial" w:hAnsi="Arial"/>
          <w:color w:val="1F3864" w:themeColor="accent1" w:themeShade="80"/>
          <w:sz w:val="20"/>
          <w:szCs w:val="20"/>
        </w:rPr>
      </w:pPr>
    </w:p>
    <w:p w14:paraId="74AD9963" w14:textId="77777777" w:rsidR="0092788A" w:rsidRPr="006D350B" w:rsidRDefault="0092788A" w:rsidP="0092788A">
      <w:pPr>
        <w:jc w:val="both"/>
        <w:rPr>
          <w:rFonts w:ascii="Arial" w:hAnsi="Arial"/>
          <w:color w:val="1F3864" w:themeColor="accent1" w:themeShade="80"/>
          <w:sz w:val="20"/>
          <w:szCs w:val="20"/>
        </w:rPr>
      </w:pPr>
      <w:r w:rsidRPr="006D350B">
        <w:rPr>
          <w:rFonts w:ascii="Arial" w:hAnsi="Arial"/>
          <w:color w:val="1F3864" w:themeColor="accent1" w:themeShade="80"/>
          <w:sz w:val="20"/>
          <w:szCs w:val="20"/>
        </w:rPr>
        <w:t xml:space="preserve">Evropska komisija je objavila študijo s predlogi za izboljšanje uporabe kazalnikov za </w:t>
      </w:r>
      <w:r w:rsidRPr="006D350B">
        <w:rPr>
          <w:rFonts w:ascii="Arial" w:hAnsi="Arial"/>
          <w:color w:val="1F3864" w:themeColor="accent1" w:themeShade="80"/>
          <w:sz w:val="20"/>
          <w:szCs w:val="20"/>
        </w:rPr>
        <w:t>posamezne programe v ESS in ESS+. Med drugim predlaga možne metode za merjenje rezultatov ukrepov  socialnega vključevanja.</w:t>
      </w:r>
    </w:p>
    <w:p w14:paraId="42E2530A" w14:textId="77777777" w:rsidR="0092788A" w:rsidRPr="006D350B" w:rsidRDefault="0092788A" w:rsidP="0092788A">
      <w:pPr>
        <w:jc w:val="both"/>
        <w:rPr>
          <w:rFonts w:ascii="Arial" w:hAnsi="Arial"/>
          <w:color w:val="1F3864" w:themeColor="accent1" w:themeShade="80"/>
          <w:sz w:val="20"/>
          <w:szCs w:val="20"/>
        </w:rPr>
      </w:pPr>
    </w:p>
    <w:p w14:paraId="7F988C02" w14:textId="77777777" w:rsidR="0092788A" w:rsidRPr="006D350B" w:rsidRDefault="0092788A" w:rsidP="0092788A">
      <w:pPr>
        <w:jc w:val="both"/>
        <w:rPr>
          <w:rFonts w:ascii="Arial" w:hAnsi="Arial"/>
          <w:color w:val="1F3864" w:themeColor="accent1" w:themeShade="80"/>
          <w:sz w:val="20"/>
          <w:szCs w:val="20"/>
        </w:rPr>
      </w:pPr>
      <w:r w:rsidRPr="006D350B">
        <w:rPr>
          <w:rFonts w:ascii="Arial" w:hAnsi="Arial"/>
          <w:color w:val="1F3864" w:themeColor="accent1" w:themeShade="80"/>
          <w:sz w:val="20"/>
          <w:szCs w:val="20"/>
        </w:rPr>
        <w:t>Več:</w:t>
      </w:r>
    </w:p>
    <w:p w14:paraId="1A401FB7" w14:textId="77777777" w:rsidR="0092788A" w:rsidRPr="006D350B" w:rsidRDefault="0092788A" w:rsidP="0092788A">
      <w:pPr>
        <w:jc w:val="both"/>
        <w:rPr>
          <w:color w:val="FFC000"/>
        </w:rPr>
      </w:pPr>
      <w:hyperlink r:id="rId26" w:history="1">
        <w:r w:rsidRPr="006D350B">
          <w:rPr>
            <w:rStyle w:val="Hyperlink"/>
            <w:rFonts w:ascii="Arial" w:hAnsi="Arial"/>
            <w:color w:val="FFC000"/>
            <w:sz w:val="20"/>
            <w:szCs w:val="20"/>
          </w:rPr>
          <w:t>Sporočilo s povezavo na študijo</w:t>
        </w:r>
      </w:hyperlink>
    </w:p>
    <w:p w14:paraId="323E8C40" w14:textId="3C09E13F" w:rsidR="0092788A" w:rsidRDefault="0092788A" w:rsidP="007B4868">
      <w:pPr>
        <w:jc w:val="both"/>
        <w:rPr>
          <w:rFonts w:ascii="Arial" w:hAnsi="Arial"/>
          <w:color w:val="1F3864" w:themeColor="accent1" w:themeShade="80"/>
          <w:sz w:val="20"/>
          <w:szCs w:val="20"/>
        </w:rPr>
      </w:pPr>
    </w:p>
    <w:p w14:paraId="62130421" w14:textId="77777777" w:rsidR="000648CF" w:rsidRPr="006D350B" w:rsidRDefault="000648CF" w:rsidP="007B4868">
      <w:pPr>
        <w:jc w:val="both"/>
        <w:rPr>
          <w:rFonts w:ascii="Arial" w:hAnsi="Arial"/>
          <w:color w:val="1F3864" w:themeColor="accent1" w:themeShade="80"/>
          <w:sz w:val="20"/>
          <w:szCs w:val="20"/>
        </w:rPr>
      </w:pPr>
    </w:p>
    <w:p w14:paraId="04298532" w14:textId="1C0C152A" w:rsidR="0092788A" w:rsidRPr="006D350B" w:rsidRDefault="000648CF" w:rsidP="007B4868">
      <w:pPr>
        <w:jc w:val="both"/>
        <w:rPr>
          <w:rFonts w:ascii="Arial" w:hAnsi="Arial"/>
          <w:color w:val="1F3864" w:themeColor="accent1" w:themeShade="80"/>
          <w:sz w:val="20"/>
          <w:szCs w:val="20"/>
        </w:rPr>
      </w:pPr>
      <w:r>
        <w:object w:dxaOrig="2670" w:dyaOrig="1070" w14:anchorId="7CDB07DB">
          <v:shape id="_x0000_i1037" type="#_x0000_t75" style="width:202pt;height:81pt" o:ole="">
            <v:imagedata r:id="rId27" o:title=""/>
          </v:shape>
          <o:OLEObject Type="Embed" ProgID="Paint.Picture" ShapeID="_x0000_i1037" DrawAspect="Content" ObjectID="_1717929599" r:id="rId28"/>
        </w:object>
      </w:r>
    </w:p>
    <w:p w14:paraId="5613738D" w14:textId="77777777" w:rsidR="0092788A" w:rsidRPr="006D350B" w:rsidRDefault="0092788A" w:rsidP="0092788A">
      <w:pPr>
        <w:jc w:val="both"/>
        <w:rPr>
          <w:rFonts w:ascii="Arial" w:hAnsi="Arial"/>
          <w:b/>
          <w:bCs/>
          <w:color w:val="1F3864" w:themeColor="accent1" w:themeShade="80"/>
          <w:sz w:val="20"/>
          <w:szCs w:val="20"/>
        </w:rPr>
      </w:pPr>
      <w:r w:rsidRPr="006D350B">
        <w:rPr>
          <w:rFonts w:ascii="Arial" w:hAnsi="Arial"/>
          <w:b/>
          <w:bCs/>
          <w:color w:val="1F3864" w:themeColor="accent1" w:themeShade="80"/>
          <w:sz w:val="20"/>
          <w:szCs w:val="20"/>
        </w:rPr>
        <w:t xml:space="preserve">Objavljen je drugi razpis </w:t>
      </w:r>
      <w:proofErr w:type="spellStart"/>
      <w:r w:rsidRPr="006D350B">
        <w:rPr>
          <w:rFonts w:ascii="Arial" w:hAnsi="Arial"/>
          <w:b/>
          <w:bCs/>
          <w:color w:val="1F3864" w:themeColor="accent1" w:themeShade="80"/>
          <w:sz w:val="20"/>
          <w:szCs w:val="20"/>
        </w:rPr>
        <w:t>Women</w:t>
      </w:r>
      <w:proofErr w:type="spellEnd"/>
      <w:r w:rsidRPr="006D350B">
        <w:rPr>
          <w:rFonts w:ascii="Arial" w:hAnsi="Arial"/>
          <w:b/>
          <w:bCs/>
          <w:color w:val="1F3864" w:themeColor="accent1" w:themeShade="80"/>
          <w:sz w:val="20"/>
          <w:szCs w:val="20"/>
        </w:rPr>
        <w:t xml:space="preserve"> </w:t>
      </w:r>
      <w:proofErr w:type="spellStart"/>
      <w:r w:rsidRPr="006D350B">
        <w:rPr>
          <w:rFonts w:ascii="Arial" w:hAnsi="Arial"/>
          <w:b/>
          <w:bCs/>
          <w:color w:val="1F3864" w:themeColor="accent1" w:themeShade="80"/>
          <w:sz w:val="20"/>
          <w:szCs w:val="20"/>
        </w:rPr>
        <w:t>TechEU</w:t>
      </w:r>
      <w:proofErr w:type="spellEnd"/>
    </w:p>
    <w:p w14:paraId="4344BE64" w14:textId="77777777" w:rsidR="0092788A" w:rsidRPr="006D350B" w:rsidRDefault="0092788A" w:rsidP="0092788A">
      <w:pPr>
        <w:jc w:val="both"/>
        <w:rPr>
          <w:rFonts w:ascii="Arial" w:hAnsi="Arial"/>
          <w:color w:val="1F3864" w:themeColor="accent1" w:themeShade="80"/>
          <w:sz w:val="20"/>
          <w:szCs w:val="20"/>
        </w:rPr>
      </w:pPr>
    </w:p>
    <w:p w14:paraId="14A6009E" w14:textId="688C76CB" w:rsidR="0092788A" w:rsidRPr="006D350B" w:rsidRDefault="0092788A" w:rsidP="0092788A">
      <w:pPr>
        <w:jc w:val="both"/>
        <w:rPr>
          <w:rFonts w:ascii="Arial" w:hAnsi="Arial"/>
          <w:color w:val="1F3864" w:themeColor="accent1" w:themeShade="80"/>
          <w:sz w:val="20"/>
          <w:szCs w:val="20"/>
        </w:rPr>
      </w:pPr>
      <w:r w:rsidRPr="006D350B">
        <w:rPr>
          <w:rFonts w:ascii="Arial" w:hAnsi="Arial"/>
          <w:color w:val="1F3864" w:themeColor="accent1" w:themeShade="80"/>
          <w:sz w:val="20"/>
          <w:szCs w:val="20"/>
        </w:rPr>
        <w:t xml:space="preserve">Evropska komisija je objavila drugi razpis </w:t>
      </w:r>
      <w:proofErr w:type="spellStart"/>
      <w:r w:rsidRPr="006D350B">
        <w:rPr>
          <w:rFonts w:ascii="Arial" w:hAnsi="Arial"/>
          <w:color w:val="1F3864" w:themeColor="accent1" w:themeShade="80"/>
          <w:sz w:val="20"/>
          <w:szCs w:val="20"/>
        </w:rPr>
        <w:t>Women</w:t>
      </w:r>
      <w:proofErr w:type="spellEnd"/>
      <w:r w:rsidRPr="006D350B">
        <w:rPr>
          <w:rFonts w:ascii="Arial" w:hAnsi="Arial"/>
          <w:color w:val="1F3864" w:themeColor="accent1" w:themeShade="80"/>
          <w:sz w:val="20"/>
          <w:szCs w:val="20"/>
        </w:rPr>
        <w:t xml:space="preserve"> </w:t>
      </w:r>
      <w:proofErr w:type="spellStart"/>
      <w:r w:rsidRPr="006D350B">
        <w:rPr>
          <w:rFonts w:ascii="Arial" w:hAnsi="Arial"/>
          <w:color w:val="1F3864" w:themeColor="accent1" w:themeShade="80"/>
          <w:sz w:val="20"/>
          <w:szCs w:val="20"/>
        </w:rPr>
        <w:t>TechEU</w:t>
      </w:r>
      <w:proofErr w:type="spellEnd"/>
      <w:r w:rsidRPr="006D350B">
        <w:rPr>
          <w:rFonts w:ascii="Arial" w:hAnsi="Arial"/>
          <w:color w:val="1F3864" w:themeColor="accent1" w:themeShade="80"/>
          <w:sz w:val="20"/>
          <w:szCs w:val="20"/>
        </w:rPr>
        <w:t>. Letos bo do financiranja upravičenih do 130 zagonskih podjetij na področju tehnologij prihodnosti (</w:t>
      </w:r>
      <w:proofErr w:type="spellStart"/>
      <w:r w:rsidRPr="006D350B">
        <w:rPr>
          <w:rFonts w:ascii="Arial" w:hAnsi="Arial"/>
          <w:color w:val="1F3864" w:themeColor="accent1" w:themeShade="80"/>
          <w:sz w:val="20"/>
          <w:szCs w:val="20"/>
        </w:rPr>
        <w:t>deep</w:t>
      </w:r>
      <w:proofErr w:type="spellEnd"/>
      <w:r w:rsidRPr="006D350B">
        <w:rPr>
          <w:rFonts w:ascii="Arial" w:hAnsi="Arial"/>
          <w:color w:val="1F3864" w:themeColor="accent1" w:themeShade="80"/>
          <w:sz w:val="20"/>
          <w:szCs w:val="20"/>
        </w:rPr>
        <w:t xml:space="preserve"> </w:t>
      </w:r>
      <w:proofErr w:type="spellStart"/>
      <w:r w:rsidRPr="006D350B">
        <w:rPr>
          <w:rFonts w:ascii="Arial" w:hAnsi="Arial"/>
          <w:color w:val="1F3864" w:themeColor="accent1" w:themeShade="80"/>
          <w:sz w:val="20"/>
          <w:szCs w:val="20"/>
        </w:rPr>
        <w:t>tech</w:t>
      </w:r>
      <w:proofErr w:type="spellEnd"/>
      <w:r w:rsidRPr="006D350B">
        <w:rPr>
          <w:rFonts w:ascii="Arial" w:hAnsi="Arial"/>
          <w:color w:val="1F3864" w:themeColor="accent1" w:themeShade="80"/>
          <w:sz w:val="20"/>
          <w:szCs w:val="20"/>
        </w:rPr>
        <w:t xml:space="preserve">), ki jih vodijo ženske. Razpis je odprt do 4. oktobra. </w:t>
      </w:r>
      <w:proofErr w:type="spellStart"/>
      <w:r w:rsidRPr="006D350B">
        <w:rPr>
          <w:rFonts w:ascii="Arial" w:hAnsi="Arial"/>
          <w:color w:val="1F3864" w:themeColor="accent1" w:themeShade="80"/>
          <w:sz w:val="20"/>
          <w:szCs w:val="20"/>
        </w:rPr>
        <w:t>Women</w:t>
      </w:r>
      <w:proofErr w:type="spellEnd"/>
      <w:r w:rsidRPr="006D350B">
        <w:rPr>
          <w:rFonts w:ascii="Arial" w:hAnsi="Arial"/>
          <w:color w:val="1F3864" w:themeColor="accent1" w:themeShade="80"/>
          <w:sz w:val="20"/>
          <w:szCs w:val="20"/>
        </w:rPr>
        <w:t xml:space="preserve"> </w:t>
      </w:r>
      <w:proofErr w:type="spellStart"/>
      <w:r w:rsidRPr="006D350B">
        <w:rPr>
          <w:rFonts w:ascii="Arial" w:hAnsi="Arial"/>
          <w:color w:val="1F3864" w:themeColor="accent1" w:themeShade="80"/>
          <w:sz w:val="20"/>
          <w:szCs w:val="20"/>
        </w:rPr>
        <w:t>TechEU</w:t>
      </w:r>
      <w:proofErr w:type="spellEnd"/>
      <w:r w:rsidRPr="006D350B">
        <w:rPr>
          <w:rFonts w:ascii="Arial" w:hAnsi="Arial"/>
          <w:color w:val="1F3864" w:themeColor="accent1" w:themeShade="80"/>
          <w:sz w:val="20"/>
          <w:szCs w:val="20"/>
        </w:rPr>
        <w:t>, ki zagotavlja pomoč v najzgodnejši in najbolj tvegani fazi rasti podjetja, je evropski odgovor na zelo nizko zastopanost žensk na področju tehnologij prihodnosti.</w:t>
      </w:r>
    </w:p>
    <w:p w14:paraId="6FB62BF9" w14:textId="3AC1F4AE" w:rsidR="0092788A" w:rsidRPr="006D350B" w:rsidRDefault="0092788A" w:rsidP="0092788A">
      <w:pPr>
        <w:jc w:val="both"/>
        <w:rPr>
          <w:rFonts w:ascii="Arial" w:hAnsi="Arial"/>
          <w:color w:val="1F3864" w:themeColor="accent1" w:themeShade="80"/>
          <w:sz w:val="20"/>
          <w:szCs w:val="20"/>
        </w:rPr>
      </w:pPr>
    </w:p>
    <w:p w14:paraId="3DD48F8D" w14:textId="77777777" w:rsidR="0092788A" w:rsidRPr="006D350B" w:rsidRDefault="0092788A" w:rsidP="0092788A">
      <w:pPr>
        <w:jc w:val="both"/>
        <w:rPr>
          <w:rFonts w:ascii="Arial" w:hAnsi="Arial"/>
          <w:color w:val="1F3864" w:themeColor="accent1" w:themeShade="80"/>
          <w:sz w:val="20"/>
          <w:szCs w:val="20"/>
        </w:rPr>
      </w:pPr>
    </w:p>
    <w:p w14:paraId="0466F4CD" w14:textId="77777777" w:rsidR="0092788A" w:rsidRPr="006D350B" w:rsidRDefault="0092788A" w:rsidP="0092788A">
      <w:pPr>
        <w:jc w:val="both"/>
        <w:rPr>
          <w:rFonts w:ascii="Arial" w:hAnsi="Arial"/>
          <w:color w:val="1F3864" w:themeColor="accent1" w:themeShade="80"/>
          <w:sz w:val="20"/>
          <w:szCs w:val="20"/>
        </w:rPr>
      </w:pPr>
      <w:r w:rsidRPr="006D350B">
        <w:rPr>
          <w:rFonts w:ascii="Arial" w:hAnsi="Arial"/>
          <w:color w:val="1F3864" w:themeColor="accent1" w:themeShade="80"/>
          <w:sz w:val="20"/>
          <w:szCs w:val="20"/>
        </w:rPr>
        <w:t>Več:</w:t>
      </w:r>
    </w:p>
    <w:p w14:paraId="73BA1C54" w14:textId="3B95AE8A" w:rsidR="007B4868" w:rsidRPr="006D350B" w:rsidRDefault="0092788A" w:rsidP="007B4868">
      <w:pPr>
        <w:jc w:val="both"/>
        <w:rPr>
          <w:rFonts w:ascii="Arial" w:hAnsi="Arial"/>
          <w:color w:val="FFC000"/>
          <w:sz w:val="20"/>
          <w:szCs w:val="20"/>
        </w:rPr>
      </w:pPr>
      <w:hyperlink r:id="rId29" w:history="1">
        <w:r w:rsidRPr="006D350B">
          <w:rPr>
            <w:rStyle w:val="Hyperlink"/>
            <w:rFonts w:ascii="Arial" w:hAnsi="Arial"/>
            <w:color w:val="FFC000"/>
            <w:sz w:val="20"/>
            <w:szCs w:val="20"/>
          </w:rPr>
          <w:t>Razpis</w:t>
        </w:r>
      </w:hyperlink>
    </w:p>
    <w:p w14:paraId="7855BE32" w14:textId="0C6E6ABF" w:rsidR="00A427E4" w:rsidRPr="006D350B" w:rsidRDefault="00A427E4" w:rsidP="007B4868">
      <w:pPr>
        <w:jc w:val="both"/>
        <w:rPr>
          <w:rFonts w:ascii="Arial" w:hAnsi="Arial"/>
          <w:color w:val="1F3864" w:themeColor="accent1" w:themeShade="80"/>
          <w:sz w:val="20"/>
          <w:szCs w:val="20"/>
        </w:rPr>
      </w:pPr>
    </w:p>
    <w:p w14:paraId="0301C821" w14:textId="658E7BCB" w:rsidR="00A427E4" w:rsidRDefault="00A427E4" w:rsidP="007B4868">
      <w:pPr>
        <w:jc w:val="both"/>
        <w:rPr>
          <w:rFonts w:ascii="Arial" w:hAnsi="Arial"/>
          <w:color w:val="1F3864" w:themeColor="accent1" w:themeShade="80"/>
          <w:sz w:val="20"/>
          <w:szCs w:val="20"/>
        </w:rPr>
      </w:pPr>
    </w:p>
    <w:p w14:paraId="263000CD" w14:textId="62BF654B" w:rsidR="00FA17AA" w:rsidRPr="006D350B" w:rsidRDefault="00FA17AA" w:rsidP="007B4868">
      <w:pPr>
        <w:jc w:val="both"/>
        <w:rPr>
          <w:rFonts w:ascii="Arial" w:hAnsi="Arial"/>
          <w:color w:val="1F3864" w:themeColor="accent1" w:themeShade="80"/>
          <w:sz w:val="20"/>
          <w:szCs w:val="20"/>
        </w:rPr>
      </w:pPr>
      <w:r>
        <w:object w:dxaOrig="2670" w:dyaOrig="1070" w14:anchorId="743AAA5C">
          <v:shape id="_x0000_i1039" type="#_x0000_t75" style="width:203.5pt;height:81.5pt" o:ole="">
            <v:imagedata r:id="rId30" o:title=""/>
          </v:shape>
          <o:OLEObject Type="Embed" ProgID="Paint.Picture" ShapeID="_x0000_i1039" DrawAspect="Content" ObjectID="_1717929600" r:id="rId31"/>
        </w:object>
      </w:r>
    </w:p>
    <w:p w14:paraId="70FCE072" w14:textId="77777777" w:rsidR="00A427E4" w:rsidRPr="006D350B" w:rsidRDefault="00A427E4" w:rsidP="00A427E4">
      <w:pPr>
        <w:jc w:val="both"/>
        <w:rPr>
          <w:rFonts w:ascii="Arial" w:hAnsi="Arial"/>
          <w:b/>
          <w:bCs/>
          <w:color w:val="1F3864" w:themeColor="accent1" w:themeShade="80"/>
          <w:sz w:val="20"/>
          <w:szCs w:val="20"/>
        </w:rPr>
      </w:pPr>
      <w:r w:rsidRPr="006D350B">
        <w:rPr>
          <w:rFonts w:ascii="Arial" w:hAnsi="Arial"/>
          <w:b/>
          <w:bCs/>
          <w:color w:val="1F3864" w:themeColor="accent1" w:themeShade="80"/>
          <w:sz w:val="20"/>
          <w:szCs w:val="20"/>
        </w:rPr>
        <w:t xml:space="preserve">Objavljenih je osem razpisov na področju obrambnih tehnologij in zmogljivosti </w:t>
      </w:r>
    </w:p>
    <w:p w14:paraId="303B75C4" w14:textId="77777777" w:rsidR="00A427E4" w:rsidRPr="006D350B" w:rsidRDefault="00A427E4" w:rsidP="00A427E4">
      <w:pPr>
        <w:jc w:val="both"/>
        <w:rPr>
          <w:rFonts w:ascii="Arial" w:hAnsi="Arial"/>
          <w:color w:val="1F3864" w:themeColor="accent1" w:themeShade="80"/>
          <w:sz w:val="20"/>
          <w:szCs w:val="20"/>
        </w:rPr>
      </w:pPr>
    </w:p>
    <w:p w14:paraId="738C85FB" w14:textId="4DCB3F94" w:rsidR="00A427E4" w:rsidRPr="006D350B" w:rsidRDefault="00A427E4" w:rsidP="00A427E4">
      <w:pPr>
        <w:jc w:val="both"/>
        <w:rPr>
          <w:rFonts w:ascii="Arial" w:hAnsi="Arial"/>
          <w:color w:val="1F3864" w:themeColor="accent1" w:themeShade="80"/>
          <w:sz w:val="20"/>
          <w:szCs w:val="20"/>
        </w:rPr>
      </w:pPr>
      <w:r w:rsidRPr="006D350B">
        <w:rPr>
          <w:rFonts w:ascii="Arial" w:hAnsi="Arial"/>
          <w:color w:val="1F3864" w:themeColor="accent1" w:themeShade="80"/>
          <w:sz w:val="20"/>
          <w:szCs w:val="20"/>
        </w:rPr>
        <w:t>Evropska komisija je objavila osem razpisov za zbiranje predlogov, ki zajemajo 33 tem na področju obrambnih tehnologij in zmogljivosti v okviru Evropskega obrambnega sklada. Več kot 120 milijonov evrov bo namenjenih naložbam na področju vesoljskih tehnologij oziroma pomorske vojaške opreme, 70 milijonov evrov pa raziskavam na področju kibernetskega prostora in informacijske prevlade. Razpisana sredstva so na voljo tudi malim in srednjim podjetjem in nasploh za inovacije in prelomne tehnologije. Razpisi so odprti do 24. novembra.</w:t>
      </w:r>
    </w:p>
    <w:p w14:paraId="095301FC" w14:textId="5B5DF171" w:rsidR="00A427E4" w:rsidRPr="006D350B" w:rsidRDefault="00A427E4" w:rsidP="00A427E4">
      <w:pPr>
        <w:jc w:val="both"/>
        <w:rPr>
          <w:rFonts w:ascii="Arial" w:hAnsi="Arial"/>
          <w:color w:val="1F3864" w:themeColor="accent1" w:themeShade="80"/>
          <w:sz w:val="20"/>
          <w:szCs w:val="20"/>
        </w:rPr>
      </w:pPr>
    </w:p>
    <w:p w14:paraId="0CDD2284" w14:textId="77777777" w:rsidR="00A427E4" w:rsidRPr="006D350B" w:rsidRDefault="00A427E4" w:rsidP="00A427E4">
      <w:pPr>
        <w:jc w:val="both"/>
        <w:rPr>
          <w:rFonts w:ascii="Arial" w:hAnsi="Arial"/>
          <w:color w:val="1F3864" w:themeColor="accent1" w:themeShade="80"/>
          <w:sz w:val="20"/>
          <w:szCs w:val="20"/>
        </w:rPr>
      </w:pPr>
      <w:r w:rsidRPr="006D350B">
        <w:rPr>
          <w:rFonts w:ascii="Arial" w:hAnsi="Arial"/>
          <w:color w:val="1F3864" w:themeColor="accent1" w:themeShade="80"/>
          <w:sz w:val="20"/>
          <w:szCs w:val="20"/>
        </w:rPr>
        <w:t>Več:</w:t>
      </w:r>
    </w:p>
    <w:p w14:paraId="1A81D761" w14:textId="4D406FD2" w:rsidR="00A427E4" w:rsidRPr="006D350B" w:rsidRDefault="00A427E4" w:rsidP="00A427E4">
      <w:pPr>
        <w:jc w:val="both"/>
        <w:rPr>
          <w:rFonts w:ascii="Arial" w:hAnsi="Arial"/>
          <w:color w:val="FFC000"/>
          <w:sz w:val="20"/>
          <w:szCs w:val="20"/>
        </w:rPr>
      </w:pPr>
      <w:hyperlink r:id="rId32" w:history="1">
        <w:r w:rsidRPr="006D350B">
          <w:rPr>
            <w:rStyle w:val="Hyperlink"/>
            <w:rFonts w:ascii="Arial" w:hAnsi="Arial"/>
            <w:color w:val="FFC000"/>
            <w:sz w:val="20"/>
            <w:szCs w:val="20"/>
          </w:rPr>
          <w:t>Razpis</w:t>
        </w:r>
        <w:r w:rsidRPr="006D350B">
          <w:rPr>
            <w:rStyle w:val="Hyperlink"/>
            <w:rFonts w:ascii="Arial" w:hAnsi="Arial"/>
            <w:color w:val="FFC000"/>
            <w:sz w:val="20"/>
            <w:szCs w:val="20"/>
          </w:rPr>
          <w:t>i</w:t>
        </w:r>
      </w:hyperlink>
    </w:p>
    <w:p w14:paraId="37805EB7" w14:textId="465F5696" w:rsidR="003E59CF" w:rsidRPr="006D350B" w:rsidRDefault="003E59CF">
      <w:pPr>
        <w:rPr>
          <w:color w:val="1F3864" w:themeColor="accent1" w:themeShade="80"/>
        </w:rPr>
      </w:pPr>
    </w:p>
    <w:p w14:paraId="5289A01E" w14:textId="1CC5B639" w:rsidR="00A427E4" w:rsidRDefault="00A427E4">
      <w:pPr>
        <w:rPr>
          <w:color w:val="1F3864" w:themeColor="accent1" w:themeShade="80"/>
        </w:rPr>
      </w:pPr>
    </w:p>
    <w:p w14:paraId="67EC59B5" w14:textId="57D5D05D" w:rsidR="00D15D63" w:rsidRPr="006D350B" w:rsidRDefault="00D15D63">
      <w:pPr>
        <w:rPr>
          <w:color w:val="1F3864" w:themeColor="accent1" w:themeShade="80"/>
        </w:rPr>
      </w:pPr>
      <w:r>
        <w:object w:dxaOrig="2670" w:dyaOrig="1070" w14:anchorId="1F5F3DEA">
          <v:shape id="_x0000_i1041" type="#_x0000_t75" style="width:204.5pt;height:82pt" o:ole="">
            <v:imagedata r:id="rId33" o:title=""/>
          </v:shape>
          <o:OLEObject Type="Embed" ProgID="Paint.Picture" ShapeID="_x0000_i1041" DrawAspect="Content" ObjectID="_1717929601" r:id="rId34"/>
        </w:object>
      </w:r>
    </w:p>
    <w:p w14:paraId="64182491" w14:textId="77777777" w:rsidR="00A427E4" w:rsidRPr="006D350B" w:rsidRDefault="00A427E4" w:rsidP="00A427E4">
      <w:pPr>
        <w:jc w:val="both"/>
        <w:rPr>
          <w:rFonts w:ascii="Arial" w:hAnsi="Arial"/>
          <w:b/>
          <w:bCs/>
          <w:color w:val="1F3864" w:themeColor="accent1" w:themeShade="80"/>
          <w:sz w:val="20"/>
          <w:szCs w:val="20"/>
        </w:rPr>
      </w:pPr>
      <w:r w:rsidRPr="006D350B">
        <w:rPr>
          <w:rFonts w:ascii="Arial" w:hAnsi="Arial"/>
          <w:b/>
          <w:bCs/>
          <w:color w:val="1F3864" w:themeColor="accent1" w:themeShade="80"/>
          <w:sz w:val="20"/>
          <w:szCs w:val="20"/>
        </w:rPr>
        <w:t xml:space="preserve">Evropska komisija je objavila poročilo o uspešnosti malih in srednjih podjetij za leto 2022 </w:t>
      </w:r>
    </w:p>
    <w:p w14:paraId="0D3FC4FE" w14:textId="77777777" w:rsidR="00A427E4" w:rsidRPr="006D350B" w:rsidRDefault="00A427E4" w:rsidP="00A427E4">
      <w:pPr>
        <w:jc w:val="both"/>
        <w:rPr>
          <w:rFonts w:ascii="Arial" w:hAnsi="Arial"/>
          <w:color w:val="1F3864" w:themeColor="accent1" w:themeShade="80"/>
          <w:sz w:val="20"/>
          <w:szCs w:val="20"/>
        </w:rPr>
      </w:pPr>
    </w:p>
    <w:p w14:paraId="6274F07B" w14:textId="77777777" w:rsidR="00A427E4" w:rsidRPr="006D350B" w:rsidRDefault="00A427E4" w:rsidP="00A427E4">
      <w:pPr>
        <w:jc w:val="both"/>
        <w:rPr>
          <w:rFonts w:ascii="Arial" w:hAnsi="Arial"/>
          <w:color w:val="1F3864" w:themeColor="accent1" w:themeShade="80"/>
          <w:sz w:val="20"/>
          <w:szCs w:val="20"/>
        </w:rPr>
      </w:pPr>
      <w:r w:rsidRPr="006D350B">
        <w:rPr>
          <w:rFonts w:ascii="Arial" w:hAnsi="Arial"/>
          <w:color w:val="1F3864" w:themeColor="accent1" w:themeShade="80"/>
          <w:sz w:val="20"/>
          <w:szCs w:val="20"/>
        </w:rPr>
        <w:t>Evropska komisija v poročilu o uspešnosti malih in srednjih podjetij ugotavlja, da so se lani evropska mala in srednje velika podjetja (MSP) kljub težkim izzivom zaradi pandemije covida-19 in letos zaradi vojne v Ukrajini Ukrajino usmerila v bolj trajnostne in digitalne poslovne modele. V poročilu so izpostavljena tudi tveganja hitrega naraščanja cen energije in surovin, naraščajoče inflacije v času, ko je izvajanje zelenega in digitalnega prehoda še posebej pomembno.</w:t>
      </w:r>
    </w:p>
    <w:p w14:paraId="3B3A7EF8" w14:textId="77777777" w:rsidR="00A427E4" w:rsidRPr="006D350B" w:rsidRDefault="00A427E4" w:rsidP="00A427E4">
      <w:pPr>
        <w:jc w:val="both"/>
        <w:rPr>
          <w:rFonts w:ascii="Arial" w:hAnsi="Arial"/>
          <w:color w:val="1F3864" w:themeColor="accent1" w:themeShade="80"/>
          <w:sz w:val="20"/>
          <w:szCs w:val="20"/>
        </w:rPr>
      </w:pPr>
    </w:p>
    <w:p w14:paraId="4E25B33B" w14:textId="77777777" w:rsidR="00A427E4" w:rsidRPr="006D350B" w:rsidRDefault="00A427E4" w:rsidP="00A427E4">
      <w:pPr>
        <w:jc w:val="both"/>
        <w:rPr>
          <w:rFonts w:ascii="Arial" w:hAnsi="Arial"/>
          <w:color w:val="1F3864" w:themeColor="accent1" w:themeShade="80"/>
          <w:sz w:val="20"/>
          <w:szCs w:val="20"/>
        </w:rPr>
      </w:pPr>
      <w:r w:rsidRPr="006D350B">
        <w:rPr>
          <w:rFonts w:ascii="Arial" w:hAnsi="Arial"/>
          <w:color w:val="1F3864" w:themeColor="accent1" w:themeShade="80"/>
          <w:sz w:val="20"/>
          <w:szCs w:val="20"/>
        </w:rPr>
        <w:t>Več:</w:t>
      </w:r>
    </w:p>
    <w:p w14:paraId="4DE84E7E" w14:textId="1759AEAF" w:rsidR="00A427E4" w:rsidRPr="006D350B" w:rsidRDefault="00A427E4" w:rsidP="00A427E4">
      <w:pPr>
        <w:rPr>
          <w:color w:val="FFC000"/>
        </w:rPr>
      </w:pPr>
      <w:hyperlink r:id="rId35" w:history="1">
        <w:r w:rsidRPr="006D350B">
          <w:rPr>
            <w:rStyle w:val="Hyperlink"/>
            <w:rFonts w:ascii="Arial" w:hAnsi="Arial"/>
            <w:color w:val="FFC000"/>
            <w:sz w:val="20"/>
            <w:szCs w:val="20"/>
          </w:rPr>
          <w:t>Poročilo</w:t>
        </w:r>
      </w:hyperlink>
    </w:p>
    <w:sectPr w:rsidR="00A427E4" w:rsidRPr="006D350B" w:rsidSect="00524ED9">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96D3F" w14:textId="77777777" w:rsidR="00F40474" w:rsidRDefault="00F40474" w:rsidP="00524ED9">
      <w:r>
        <w:separator/>
      </w:r>
    </w:p>
  </w:endnote>
  <w:endnote w:type="continuationSeparator" w:id="0">
    <w:p w14:paraId="3488972C" w14:textId="77777777" w:rsidR="00F40474" w:rsidRDefault="00F40474" w:rsidP="00524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A65B" w14:textId="77777777" w:rsidR="00524ED9" w:rsidRDefault="00524E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988FA" w14:textId="77777777" w:rsidR="00524ED9" w:rsidRDefault="00524E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7803" w14:textId="77777777" w:rsidR="00524ED9" w:rsidRDefault="00524E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9B291" w14:textId="77777777" w:rsidR="00F40474" w:rsidRDefault="00F40474" w:rsidP="00524ED9">
      <w:r>
        <w:separator/>
      </w:r>
    </w:p>
  </w:footnote>
  <w:footnote w:type="continuationSeparator" w:id="0">
    <w:p w14:paraId="1B073875" w14:textId="77777777" w:rsidR="00F40474" w:rsidRDefault="00F40474" w:rsidP="00524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E9710" w14:textId="77777777" w:rsidR="00524ED9" w:rsidRDefault="00524E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0FD7F" w14:textId="063AEDD6" w:rsidR="00524ED9" w:rsidRDefault="00524E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0D374" w14:textId="7A72CCCA" w:rsidR="00524ED9" w:rsidRDefault="00524ED9">
    <w:pPr>
      <w:pStyle w:val="Header"/>
    </w:pPr>
    <w:r>
      <w:object w:dxaOrig="9520" w:dyaOrig="4370" w14:anchorId="0A446C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451pt;height:207pt" o:ole="">
          <v:imagedata r:id="rId1" o:title=""/>
        </v:shape>
        <o:OLEObject Type="Embed" ProgID="Paint.Picture" ShapeID="_x0000_i1052" DrawAspect="Content" ObjectID="_1717929602" r:id="rId2"/>
      </w:obje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290"/>
    <w:rsid w:val="000648CF"/>
    <w:rsid w:val="00341A52"/>
    <w:rsid w:val="003E59CF"/>
    <w:rsid w:val="004E442B"/>
    <w:rsid w:val="00500527"/>
    <w:rsid w:val="00522290"/>
    <w:rsid w:val="00524ED9"/>
    <w:rsid w:val="00576136"/>
    <w:rsid w:val="006D350B"/>
    <w:rsid w:val="00775FAB"/>
    <w:rsid w:val="007B4868"/>
    <w:rsid w:val="007F1171"/>
    <w:rsid w:val="00884764"/>
    <w:rsid w:val="0092788A"/>
    <w:rsid w:val="00A41A32"/>
    <w:rsid w:val="00A427E4"/>
    <w:rsid w:val="00CA274C"/>
    <w:rsid w:val="00D15D63"/>
    <w:rsid w:val="00D347F8"/>
    <w:rsid w:val="00D53771"/>
    <w:rsid w:val="00F144B6"/>
    <w:rsid w:val="00F40474"/>
    <w:rsid w:val="00FA17AA"/>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BDAF7"/>
  <w15:chartTrackingRefBased/>
  <w15:docId w15:val="{DDA910AE-3BD4-45B6-8625-86589739A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A32"/>
    <w:pPr>
      <w:spacing w:after="0" w:line="240" w:lineRule="auto"/>
    </w:pPr>
    <w:rPr>
      <w:rFonts w:ascii="Times New Roman" w:eastAsia="NSimSun" w:hAnsi="Times New Roman" w:cs="Arial"/>
      <w:kern w:val="2"/>
      <w:sz w:val="24"/>
      <w:szCs w:val="24"/>
      <w:lang w:val="sl-SI"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1A32"/>
    <w:rPr>
      <w:color w:val="0563C1" w:themeColor="hyperlink"/>
      <w:u w:val="single"/>
    </w:rPr>
  </w:style>
  <w:style w:type="character" w:styleId="UnresolvedMention">
    <w:name w:val="Unresolved Mention"/>
    <w:basedOn w:val="DefaultParagraphFont"/>
    <w:uiPriority w:val="99"/>
    <w:semiHidden/>
    <w:unhideWhenUsed/>
    <w:rsid w:val="0092788A"/>
    <w:rPr>
      <w:color w:val="605E5C"/>
      <w:shd w:val="clear" w:color="auto" w:fill="E1DFDD"/>
    </w:rPr>
  </w:style>
  <w:style w:type="paragraph" w:styleId="Header">
    <w:name w:val="header"/>
    <w:basedOn w:val="Normal"/>
    <w:link w:val="HeaderChar"/>
    <w:uiPriority w:val="99"/>
    <w:unhideWhenUsed/>
    <w:rsid w:val="00524ED9"/>
    <w:pPr>
      <w:tabs>
        <w:tab w:val="center" w:pos="4513"/>
        <w:tab w:val="right" w:pos="9026"/>
      </w:tabs>
    </w:pPr>
    <w:rPr>
      <w:rFonts w:cs="Mangal"/>
      <w:szCs w:val="21"/>
    </w:rPr>
  </w:style>
  <w:style w:type="character" w:customStyle="1" w:styleId="HeaderChar">
    <w:name w:val="Header Char"/>
    <w:basedOn w:val="DefaultParagraphFont"/>
    <w:link w:val="Header"/>
    <w:uiPriority w:val="99"/>
    <w:rsid w:val="00524ED9"/>
    <w:rPr>
      <w:rFonts w:ascii="Times New Roman" w:eastAsia="NSimSun" w:hAnsi="Times New Roman" w:cs="Mangal"/>
      <w:kern w:val="2"/>
      <w:sz w:val="24"/>
      <w:szCs w:val="21"/>
      <w:lang w:val="sl-SI" w:eastAsia="zh-CN" w:bidi="hi-IN"/>
    </w:rPr>
  </w:style>
  <w:style w:type="paragraph" w:styleId="Footer">
    <w:name w:val="footer"/>
    <w:basedOn w:val="Normal"/>
    <w:link w:val="FooterChar"/>
    <w:uiPriority w:val="99"/>
    <w:unhideWhenUsed/>
    <w:rsid w:val="00524ED9"/>
    <w:pPr>
      <w:tabs>
        <w:tab w:val="center" w:pos="4513"/>
        <w:tab w:val="right" w:pos="9026"/>
      </w:tabs>
    </w:pPr>
    <w:rPr>
      <w:rFonts w:cs="Mangal"/>
      <w:szCs w:val="21"/>
    </w:rPr>
  </w:style>
  <w:style w:type="character" w:customStyle="1" w:styleId="FooterChar">
    <w:name w:val="Footer Char"/>
    <w:basedOn w:val="DefaultParagraphFont"/>
    <w:link w:val="Footer"/>
    <w:uiPriority w:val="99"/>
    <w:rsid w:val="00524ED9"/>
    <w:rPr>
      <w:rFonts w:ascii="Times New Roman" w:eastAsia="NSimSun" w:hAnsi="Times New Roman" w:cs="Mangal"/>
      <w:kern w:val="2"/>
      <w:sz w:val="24"/>
      <w:szCs w:val="21"/>
      <w:lang w:val="sl-SI"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5.png"/><Relationship Id="rId26" Type="http://schemas.openxmlformats.org/officeDocument/2006/relationships/hyperlink" Target="https://ec.europa.eu/social/main.jsp?catId=738&amp;langId=en&amp;pubId=8466&amp;furtherPubs=yes" TargetMode="External"/><Relationship Id="rId39" Type="http://schemas.openxmlformats.org/officeDocument/2006/relationships/footer" Target="footer2.xml"/><Relationship Id="rId21" Type="http://schemas.openxmlformats.org/officeDocument/2006/relationships/image" Target="media/image6.png"/><Relationship Id="rId34" Type="http://schemas.openxmlformats.org/officeDocument/2006/relationships/oleObject" Target="embeddings/oleObject10.bin"/><Relationship Id="rId42" Type="http://schemas.openxmlformats.org/officeDocument/2006/relationships/fontTable" Target="fontTable.xml"/><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oleObject" Target="embeddings/oleObject4.bin"/><Relationship Id="rId20" Type="http://schemas.openxmlformats.org/officeDocument/2006/relationships/hyperlink" Target="https://www.europarl.europa.eu/news/sl/press-room/20220603IPR32188/deal-reached-on-new-rules-for-adequate-minimum-wages-in-the-eu" TargetMode="External"/><Relationship Id="rId29" Type="http://schemas.openxmlformats.org/officeDocument/2006/relationships/hyperlink" Target="https://ec.europa.eu/info/funding-tenders/opportunities/portal/screen/opportunities/topic-details/horizon-eie-2022-scaleup-02-02" TargetMode="External"/><Relationship Id="rId41"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eit.europa.eu/news-events/news/supernovas-bring-more-women-entrepreneurship-ecosystem" TargetMode="External"/><Relationship Id="rId24" Type="http://schemas.openxmlformats.org/officeDocument/2006/relationships/image" Target="media/image7.png"/><Relationship Id="rId32" Type="http://schemas.openxmlformats.org/officeDocument/2006/relationships/hyperlink" Target="https://ec.europa.eu/info/funding-tenders/opportunities/portal/screen/opportunities/topic-search;callCode=null;freeTextSearchKeyword=EDF-2022-RA;matchWholeText=true;typeCodes=0,1,2,8;statusCodes=31094501,31094502,31094503;programmePeriod=null;programCcm2Id=null;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eit.europa.eu/news-events/news/europes-most-promising-innovations-announcing-2022-eit-awards-nominees" TargetMode="External"/><Relationship Id="rId28" Type="http://schemas.openxmlformats.org/officeDocument/2006/relationships/oleObject" Target="embeddings/oleObject8.bin"/><Relationship Id="rId36"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oleObject" Target="embeddings/oleObject5.bin"/><Relationship Id="rId31" Type="http://schemas.openxmlformats.org/officeDocument/2006/relationships/oleObject" Target="embeddings/oleObject9.bin"/><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ec.europa.eu/info/strategy/eu-budget/annual-eu-budget/all-annual-budgets/2023_sl" TargetMode="External"/><Relationship Id="rId22" Type="http://schemas.openxmlformats.org/officeDocument/2006/relationships/oleObject" Target="embeddings/oleObject6.bin"/><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https://ec.europa.eu/growth/smes/sme-strategy/sme-performance-review_sl" TargetMode="External"/><Relationship Id="rId43" Type="http://schemas.openxmlformats.org/officeDocument/2006/relationships/theme" Target="theme/theme1.xml"/><Relationship Id="rId8" Type="http://schemas.openxmlformats.org/officeDocument/2006/relationships/hyperlink" Target="https://curia.europa.eu/juris/fiche.jsf?id=C%3B587%3B20%3BRP%3B1%3BP%3B1%3BC2020%2F0587%2FP&amp;oqp=&amp;for=&amp;mat=or&amp;lgrec=sl&amp;jge=&amp;td=%3BALL&amp;jur=C%2CT%2CF&amp;num=C-587%252F20&amp;dates=&amp;pcs=Oor&amp;lg=&amp;pro=&amp;nat=or&amp;cit=none%252CC%252CCJ%252CR%252C2008E%252C%252C%252C%252C%252" TargetMode="Externa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europarl.europa.eu/news/sl/press-room/20220603IPR32195/women-on-boards-deal-to-boost-gender-balance-in-companies" TargetMode="External"/><Relationship Id="rId25" Type="http://schemas.openxmlformats.org/officeDocument/2006/relationships/oleObject" Target="embeddings/oleObject7.bin"/><Relationship Id="rId33" Type="http://schemas.openxmlformats.org/officeDocument/2006/relationships/image" Target="media/image10.png"/><Relationship Id="rId38"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952</Words>
  <Characters>5429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Bostjan Sinkovec</dc:creator>
  <cp:keywords/>
  <dc:description/>
  <cp:lastModifiedBy>Bostjan Sinkovec</cp:lastModifiedBy>
  <cp:revision>17</cp:revision>
  <dcterms:created xsi:type="dcterms:W3CDTF">2022-06-28T08:46:00Z</dcterms:created>
  <dcterms:modified xsi:type="dcterms:W3CDTF">2022-06-28T11:52:00Z</dcterms:modified>
</cp:coreProperties>
</file>