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0B2EE76F" w14:textId="77777777" w:rsidTr="005A5B5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A5B50" w14:paraId="11B81321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7BBB44D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20DB952" w14:textId="7777777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Konkurenca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na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trgih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potrošniške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izdelke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storitve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povezane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internetom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stvari</w:t>
                        </w:r>
                        <w:proofErr w:type="spellEnd"/>
                      </w:p>
                      <w:p w14:paraId="638B24DA" w14:textId="77777777" w:rsidR="005A5B50" w:rsidRDefault="005A5B50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  <w:t xml:space="preserve">  </w:t>
                        </w:r>
                      </w:p>
                      <w:p w14:paraId="6C11A386" w14:textId="50C04E86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40020212" wp14:editId="0BBC456E">
                              <wp:extent cx="2540000" cy="1022350"/>
                              <wp:effectExtent l="0" t="0" r="0" b="635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je objavila predhodne rezultate preiskave sektorja v zvezi s konkurenco na trgih za potrošniške izdelke in storitve, povezane z internetom stvari v Evropski uniji. Evropska komisija do 1. septembra k poročilu sprejema mnenja in predloge. Končno poročilo namerava objaviti v prvi polovici leta 2022.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7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Poročilo</w:t>
                          </w:r>
                        </w:hyperlink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Javno posvetovanje</w:t>
                          </w:r>
                        </w:hyperlink>
                      </w:p>
                    </w:tc>
                  </w:tr>
                </w:tbl>
                <w:p w14:paraId="5A4CBB01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5F77C3A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CAEF98B" w14:textId="7777777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Sprejet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novi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finančni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instrument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Globalna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Evropa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podporo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zunanjemu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delovanju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EU </w:t>
                        </w:r>
                      </w:p>
                      <w:p w14:paraId="6FA81DB7" w14:textId="2961FE40" w:rsidR="005A5B50" w:rsidRDefault="005A5B50">
                        <w:pPr>
                          <w:pStyle w:val="Heading3"/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81632AC" wp14:editId="7F959AD6">
                              <wp:extent cx="2540000" cy="1022350"/>
                              <wp:effectExtent l="0" t="0" r="0" b="635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88D59E" w14:textId="77777777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Sprejeta je uredba o vzpostavitvi instrumenta za sosedstvo ter razvojno in mednarodno sodelovanje Globalna Evropa (NDICI – Globalna Evropa).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Spletna stran z informacijami o skladu Globalna Evropa</w:t>
                          </w:r>
                        </w:hyperlink>
                      </w:p>
                    </w:tc>
                  </w:tr>
                </w:tbl>
                <w:p w14:paraId="109A7CF2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C289D7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1713723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5FF02A89" w14:textId="77777777" w:rsidTr="005A5B50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5A5B50" w14:paraId="7D0F6AEF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5CFAD5" w14:textId="77777777" w:rsidR="005A5B50" w:rsidRDefault="005A5B50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53863D72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B9CA7BB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0CF7B816" w14:textId="77777777" w:rsidTr="005A5B5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A5B50" w14:paraId="26AAA94F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1F0788CD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3DB823B" w14:textId="1FBA2BAD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Javno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posvetovanje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pobudi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boj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proti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zlorabam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slamnatimi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podjetji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v EU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6A2CAEB" wp14:editId="76B52E32">
                              <wp:extent cx="2540000" cy="1022350"/>
                              <wp:effectExtent l="0" t="0" r="0" b="635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1FEE57" w14:textId="77777777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prek javnega posvetovanja do 27. avgusta zbira mnenja in predloge o pobudi za boj proti zlorabam s slamnatimi podjetji v EU.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Posvetovanje</w:t>
                          </w:r>
                        </w:hyperlink>
                      </w:p>
                    </w:tc>
                  </w:tr>
                </w:tbl>
                <w:p w14:paraId="7F17EA6C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61F6F3E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3893C27" w14:textId="7777777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Odobrena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državna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pomoč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pridelovalcem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krompirja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, ki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jih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prizadela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epidemija</w:t>
                        </w:r>
                        <w:proofErr w:type="spellEnd"/>
                      </w:p>
                      <w:p w14:paraId="52D57504" w14:textId="0C6539F2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 wp14:anchorId="5E4FA2CA" wp14:editId="71134C5B">
                              <wp:extent cx="2540000" cy="1022350"/>
                              <wp:effectExtent l="0" t="0" r="0" b="635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 xml:space="preserve">Evropska komisija je odobrila 1,5 milijonov evrov vredno slovensko shemo državne pomoči za podporo pridelovalcem krompirja, ki jih je prizadel izbruh </w:t>
                        </w:r>
                        <w:proofErr w:type="spellStart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koronavirusa</w:t>
                        </w:r>
                        <w:proofErr w:type="spellEnd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Sklep Evropske komisije</w:t>
                          </w:r>
                        </w:hyperlink>
                      </w:p>
                    </w:tc>
                  </w:tr>
                </w:tbl>
                <w:p w14:paraId="59F85390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2E080C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65DE40F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692FD5A8" w14:textId="77777777" w:rsidTr="005A5B50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5A5B50" w14:paraId="2653CFBA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02D28A" w14:textId="77777777" w:rsidR="005A5B50" w:rsidRDefault="005A5B50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7854D301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B247774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536A5486" w14:textId="77777777" w:rsidTr="005A5B5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A5B50" w14:paraId="55339151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1DDD64F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1078CC8" w14:textId="3FB41514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Seznam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dodatnih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instrumentov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skladov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nekatere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najmanjše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investicijske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družbe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024FE51" wp14:editId="04BC1D13">
                              <wp:extent cx="2540000" cy="100965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9B0C75F" w14:textId="77777777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Evropski organ za vrednostne papirje in trge (ESMA) je skupaj z Evropskim bančnim organom (EBA) objavil začasni seznam dodatnih instrumentov in skladov, katerih uporabo pristojni organi lahko dovolijo najmanjšim investicijskim družbam kot lastna sredstva.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6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Sporočilo s povezavo na seznam</w:t>
                          </w:r>
                        </w:hyperlink>
                      </w:p>
                    </w:tc>
                  </w:tr>
                </w:tbl>
                <w:p w14:paraId="51768529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1AA460E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ADF494A" w14:textId="7777777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Javno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posvetovanje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aktu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podatkih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br/>
                          <w:t> </w:t>
                        </w:r>
                      </w:p>
                      <w:p w14:paraId="730B7C17" w14:textId="11233B63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163D4896" wp14:editId="75C49208">
                              <wp:extent cx="2540000" cy="1022350"/>
                              <wp:effectExtent l="0" t="0" r="0" b="635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prek javnega posvetovanja do 3. septembra zbira mnenja in predloge o aktu o podatkih, ki naj bi razjasnil pravice in obveznosti sodelujočih pri podatkovnih transakcijah ter zagotovil poštenost pri določanju vrednosti podatkov med deležniki v podatkovnem gospodarstvu.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8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Spletna stran javnega posvetovanja</w:t>
                          </w:r>
                        </w:hyperlink>
                      </w:p>
                    </w:tc>
                  </w:tr>
                </w:tbl>
                <w:p w14:paraId="2F25B8E9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5AC5FD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1397BD0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2E56A209" w14:textId="77777777" w:rsidTr="005A5B50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5A5B50" w14:paraId="59D1F2BE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4F99F5" w14:textId="77777777" w:rsidR="005A5B50" w:rsidRDefault="005A5B50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665A3957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C930E88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73CFB54B" w14:textId="77777777" w:rsidTr="005A5B5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A5B50" w14:paraId="2C388862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1408510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0A15A63" w14:textId="291F262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Sodba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glede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agencij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zagotavljanje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začasnega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dela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8167031" wp14:editId="5E060C9F">
                              <wp:extent cx="2540000" cy="1022350"/>
                              <wp:effectExtent l="0" t="0" r="0" b="635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9155FC9" w14:textId="77777777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To, da agencija za zagotavljanje začasnega dela opravlja dejavnosti izbora in zaposlovanja agencijskih delavcev v državi članici, v kateri ima sedež, ne zadostuje za to, da bi se štelo, da tam opravlja »znaten del dejavnosti«, je razsodilo Sodišče EU.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0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Sodba</w:t>
                          </w:r>
                        </w:hyperlink>
                      </w:p>
                    </w:tc>
                  </w:tr>
                </w:tbl>
                <w:p w14:paraId="1E184292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1F35BA3E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3BE9F27" w14:textId="7777777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Evropska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komisija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odobrila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slovensko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shemo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državne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pomoči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podporo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govedorejcem</w:t>
                        </w:r>
                        <w:proofErr w:type="spellEnd"/>
                      </w:p>
                      <w:p w14:paraId="62EC52EA" w14:textId="72D5BFFD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 wp14:anchorId="1FDAEF81" wp14:editId="6BCB5701">
                              <wp:extent cx="2540000" cy="10287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 xml:space="preserve">Evropska komisija je odobrila 6 milijonov evrov vredno slovensko shemo državne pomoči za podporo govedorejcem, ki jih je prizadel izbruh </w:t>
                        </w:r>
                        <w:proofErr w:type="spellStart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koronavirusa</w:t>
                        </w:r>
                        <w:proofErr w:type="spellEnd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. Pomoč bo v obliki neposrednih nepovratnih sredstev v višini do 225.000 evrov na upravičenca namenjena zadovoljevanju likvidnostnih potreb upravičencev in nadaljevanju njihovih dejavnosti med pandemijo in po njej. Sklep o odobritvi je v registru državnih pomoči na voljo pod številko SA.62977.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2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Register Evropske komisije o odobritvi državnih pomoči</w:t>
                          </w:r>
                        </w:hyperlink>
                      </w:p>
                    </w:tc>
                  </w:tr>
                </w:tbl>
                <w:p w14:paraId="6B36B131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D4DA84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26AF90F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1F708585" w14:textId="77777777" w:rsidTr="005A5B50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5A5B50" w14:paraId="4CB353E9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E15CD6" w14:textId="77777777" w:rsidR="005A5B50" w:rsidRDefault="005A5B50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16A6FE25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ABEFC02" w14:textId="77777777" w:rsidR="005A5B50" w:rsidRDefault="005A5B50" w:rsidP="005A5B50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B50" w14:paraId="0B871DB8" w14:textId="77777777" w:rsidTr="005A5B5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A5B50" w14:paraId="3217A846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60921A8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BD6B783" w14:textId="56F46A51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Evropska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komisija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objavila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poročilo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izvajanju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prve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pobude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EU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opraševalce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D22EA53" wp14:editId="765FDED4">
                              <wp:extent cx="2540000" cy="1022350"/>
                              <wp:effectExtent l="0" t="0" r="0" b="635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4AEDD1" w14:textId="77777777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je objavila poročilo o izvajanju prve pobude EU za opraševalce v katerem ugotavlja, da je bil pri izvajanju ukrepov pobude dosežen znaten napredek, vendar so izzivi pri spopadanju z različnimi vzroki zmanjševanja še vedno prisotni.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4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Poročilo</w:t>
                          </w:r>
                        </w:hyperlink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lastRenderedPageBreak/>
                          <w:t>in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5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Spletna stran z informacijami o pobudi</w:t>
                          </w:r>
                        </w:hyperlink>
                      </w:p>
                    </w:tc>
                  </w:tr>
                </w:tbl>
                <w:p w14:paraId="600FADD0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5A5B50" w14:paraId="118ED29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48BF46E" w14:textId="77777777" w:rsidR="005A5B50" w:rsidRDefault="005A5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Vizija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gospodarsko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okoljsko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socialno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trajnosten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odporen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turistični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sektor</w:t>
                        </w:r>
                        <w:proofErr w:type="spellEnd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Evropi</w:t>
                        </w:r>
                        <w:proofErr w:type="spellEnd"/>
                      </w:p>
                      <w:p w14:paraId="182D0112" w14:textId="2F601097" w:rsidR="005A5B50" w:rsidRDefault="005A5B50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2F84506A" wp14:editId="013D7FE4">
                              <wp:extent cx="2540000" cy="1022350"/>
                              <wp:effectExtent l="0" t="0" r="0" b="635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 xml:space="preserve">Države članice so v okviru Sveta EU sprejele sklepe, v katerih je predstavljena vizija za gospodarsko, </w:t>
                        </w:r>
                        <w:proofErr w:type="spellStart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okoljsko</w:t>
                        </w:r>
                        <w:proofErr w:type="spellEnd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 xml:space="preserve"> in socialno trajnosten in odporen turistični sektor v Evropi. V sklepih pozivajo k pametni uporabi obstoječih možnosti financiranja v okviru večletnega finančnega okvira EU in instrumenta </w:t>
                        </w:r>
                        <w:proofErr w:type="spellStart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Next</w:t>
                        </w:r>
                        <w:proofErr w:type="spellEnd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Generation</w:t>
                        </w:r>
                        <w:proofErr w:type="spellEnd"/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 xml:space="preserve"> EU. Evropska komisija pa naj do konca leta 2021 oblikuje evropsko agendo za turizem 2030–2050, da bi podprli zeleni in </w:t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lastRenderedPageBreak/>
                          <w:t>digitalni prehod evropskega turističnega ekosistema ter izboljšali njegovo konkurenčnost.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7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Sklepi</w:t>
                          </w:r>
                        </w:hyperlink>
                      </w:p>
                    </w:tc>
                  </w:tr>
                </w:tbl>
                <w:p w14:paraId="2F32273A" w14:textId="77777777" w:rsidR="005A5B50" w:rsidRDefault="005A5B50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9F54DA" w14:textId="77777777" w:rsidR="005A5B50" w:rsidRDefault="005A5B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466970F" w14:textId="77777777" w:rsidR="001E0747" w:rsidRDefault="00CA194A"/>
    <w:sectPr w:rsidR="001E0747" w:rsidSect="005A5B50">
      <w:headerReference w:type="first" r:id="rId2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1745" w14:textId="77777777" w:rsidR="00CA194A" w:rsidRDefault="00CA194A" w:rsidP="005A5B50">
      <w:r>
        <w:separator/>
      </w:r>
    </w:p>
  </w:endnote>
  <w:endnote w:type="continuationSeparator" w:id="0">
    <w:p w14:paraId="23B66C0A" w14:textId="77777777" w:rsidR="00CA194A" w:rsidRDefault="00CA194A" w:rsidP="005A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EFCC" w14:textId="77777777" w:rsidR="00CA194A" w:rsidRDefault="00CA194A" w:rsidP="005A5B50">
      <w:r>
        <w:separator/>
      </w:r>
    </w:p>
  </w:footnote>
  <w:footnote w:type="continuationSeparator" w:id="0">
    <w:p w14:paraId="01393C43" w14:textId="77777777" w:rsidR="00CA194A" w:rsidRDefault="00CA194A" w:rsidP="005A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CE16" w14:textId="4A113DE2" w:rsidR="005A5B50" w:rsidRDefault="005A5B50">
    <w:pPr>
      <w:pStyle w:val="Header"/>
    </w:pPr>
    <w:r>
      <w:rPr>
        <w:rFonts w:eastAsia="Times New Roman"/>
        <w:noProof/>
      </w:rPr>
      <w:drawing>
        <wp:inline distT="0" distB="0" distL="0" distR="0" wp14:anchorId="21F34789" wp14:editId="3E0467DC">
          <wp:extent cx="5372100" cy="24384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0E"/>
    <w:rsid w:val="005A5B50"/>
    <w:rsid w:val="006C2406"/>
    <w:rsid w:val="00775FAB"/>
    <w:rsid w:val="00CA194A"/>
    <w:rsid w:val="00D347F8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DE597"/>
  <w15:chartTrackingRefBased/>
  <w15:docId w15:val="{8AFDF0B5-6605-426A-B981-6BA1B1E2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06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A5B50"/>
    <w:pPr>
      <w:spacing w:line="300" w:lineRule="auto"/>
      <w:outlineLvl w:val="2"/>
    </w:pPr>
    <w:rPr>
      <w:rFonts w:ascii="Helvetica" w:eastAsiaTheme="minorHAnsi" w:hAnsi="Helvetica" w:cs="Helvetica"/>
      <w:b/>
      <w:bCs/>
      <w:color w:val="606060"/>
      <w:spacing w:val="-8"/>
      <w:kern w:val="0"/>
      <w:sz w:val="27"/>
      <w:szCs w:val="27"/>
      <w:lang w:val="en-BE" w:eastAsia="en-B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40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B50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5A5B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5B5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A5B50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A5B5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A5B50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4c8dbad984&amp;e=b881071455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bra.us8.list-manage.com/track/click?u=e6e6edab27aee286b10f651f9&amp;id=f4abfb4e4d&amp;e=b881071455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sbra.us8.list-manage.com/track/click?u=e6e6edab27aee286b10f651f9&amp;id=902bdec844&amp;e=b881071455" TargetMode="External"/><Relationship Id="rId12" Type="http://schemas.openxmlformats.org/officeDocument/2006/relationships/hyperlink" Target="https://sbra.us8.list-manage.com/track/click?u=e6e6edab27aee286b10f651f9&amp;id=0e66844895&amp;e=b881071455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bra.us8.list-manage.com/track/click?u=e6e6edab27aee286b10f651f9&amp;id=4d5a7eaef7&amp;e=b8810714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f7c99f1c19&amp;e=b881071455" TargetMode="External"/><Relationship Id="rId20" Type="http://schemas.openxmlformats.org/officeDocument/2006/relationships/hyperlink" Target="https://sbra.us8.list-manage.com/track/click?u=e6e6edab27aee286b10f651f9&amp;id=5e350fd312&amp;e=b88107145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sbra.us8.list-manage.com/track/click?u=e6e6edab27aee286b10f651f9&amp;id=de1149e87a&amp;e=b88107145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hyperlink" Target="https://sbra.us8.list-manage.com/track/click?u=e6e6edab27aee286b10f651f9&amp;id=40fee8c733&amp;e=b881071455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sbra.us8.list-manage.com/track/click?u=e6e6edab27aee286b10f651f9&amp;id=498008d52d&amp;e=b881071455" TargetMode="External"/><Relationship Id="rId22" Type="http://schemas.openxmlformats.org/officeDocument/2006/relationships/hyperlink" Target="https://sbra.us8.list-manage.com/track/click?u=e6e6edab27aee286b10f651f9&amp;id=816502067e&amp;e=b881071455" TargetMode="External"/><Relationship Id="rId27" Type="http://schemas.openxmlformats.org/officeDocument/2006/relationships/hyperlink" Target="https://sbra.us8.list-manage.com/track/click?u=e6e6edab27aee286b10f651f9&amp;id=01cb5eb652&amp;e=b881071455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3</cp:revision>
  <dcterms:created xsi:type="dcterms:W3CDTF">2021-06-17T12:13:00Z</dcterms:created>
  <dcterms:modified xsi:type="dcterms:W3CDTF">2021-06-17T13:47:00Z</dcterms:modified>
</cp:coreProperties>
</file>