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2B85ED5B" w14:textId="77777777" w:rsidTr="00275FB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57E897F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81446AB" w14:textId="77777777" w:rsidR="00275FB5" w:rsidRDefault="00275FB5" w:rsidP="008371C7">
                  <w:pPr>
                    <w:pStyle w:val="Heading3"/>
                    <w:spacing w:before="0" w:beforeAutospacing="0" w:after="0" w:afterAutospacing="0" w:line="300" w:lineRule="auto"/>
                    <w:ind w:right="119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Sredstva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boj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proti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pandemiji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in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uresničitev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načrta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prejme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72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inovativnih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podjetij</w:t>
                  </w:r>
                  <w:proofErr w:type="spellEnd"/>
                </w:p>
                <w:p w14:paraId="2CE7E929" w14:textId="13FF1DB4" w:rsidR="00275FB5" w:rsidRDefault="00275FB5">
                  <w:pPr>
                    <w:spacing w:line="360" w:lineRule="auto"/>
                    <w:ind w:right="62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39126398" wp14:editId="3ADB9026">
                        <wp:extent cx="2413789" cy="971550"/>
                        <wp:effectExtent l="0" t="0" r="5715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8497" cy="97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unija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72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inovativnim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16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dodelila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314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milijonov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okrevanju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pilotnega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Pospeševalec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inovacije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(EIC)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36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skupaj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prejelo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skoraj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166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milijonov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pandemiji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koronavirusa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148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milijonov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36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dobilo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projekte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bodo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prispevali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k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načrtu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okrevanja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Seznam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izbranih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podjetij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boj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proti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koronavirusu</w:t>
                    </w:r>
                    <w:proofErr w:type="spellEnd"/>
                  </w:hyperlink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  <w:t> </w:t>
                  </w:r>
                </w:p>
              </w:tc>
            </w:tr>
          </w:tbl>
          <w:p w14:paraId="111AE947" w14:textId="77777777" w:rsidR="00275FB5" w:rsidRDefault="00275FB5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63FE8A3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073F6A6" w14:textId="2ED819D1" w:rsidR="00275FB5" w:rsidRDefault="00275FB5" w:rsidP="008371C7">
                  <w:pPr>
                    <w:pStyle w:val="Heading3"/>
                    <w:spacing w:before="0" w:beforeAutospacing="0" w:after="0" w:afterAutospacing="0" w:line="300" w:lineRule="auto"/>
                    <w:ind w:right="119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Javni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posvetovanji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predlogu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akta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digitalne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storitve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novem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orodju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področje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konkurence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118395BD" wp14:editId="4DEF90A2">
                        <wp:extent cx="2393950" cy="963565"/>
                        <wp:effectExtent l="0" t="0" r="6350" b="825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772" cy="976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CA1E71" w14:textId="77777777" w:rsidR="00275FB5" w:rsidRDefault="00275FB5" w:rsidP="00275FB5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8.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zbira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mnenja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aktu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storitvah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(Digital Services Act),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predviden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temeljni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predpis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storitve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EU.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zajema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skupini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Prva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skupina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pokriva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temelje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direktive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etrgovini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zlasti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svobodo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zagotavljanju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storitev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enotnem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EU. Druga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skupina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nanaša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zagotovitev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enakih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pogojev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 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poslovanje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Istočasno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ločenega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zbira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mnenja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novem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orodju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konkurence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Napoved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javnega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aktu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digitalne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storitve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vprašalnik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0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Napoved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javnega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novem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orodju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področje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konkurence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 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vprašalnik</w:t>
                    </w:r>
                    <w:proofErr w:type="spellEnd"/>
                  </w:hyperlink>
                </w:p>
              </w:tc>
            </w:tr>
          </w:tbl>
          <w:p w14:paraId="370A91BE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BEF92E6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3ADB92B6" w14:textId="77777777" w:rsidTr="00275FB5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275FB5" w14:paraId="703580D5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E36F66" w14:textId="77777777" w:rsidR="00275FB5" w:rsidRDefault="00275FB5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4F9C50FB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4982EAE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4B409A32" w14:textId="77777777" w:rsidTr="00275FB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275FB5" w14:paraId="7EA4322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D438588" w14:textId="5DFC9B21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ind w:right="261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lastRenderedPageBreak/>
                    <w:t>Predlog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uredbe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poenostavitev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 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finančnih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pravil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EU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sredstva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okrevanje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00142D22" wp14:editId="27DAFD29">
                        <wp:extent cx="2362200" cy="950786"/>
                        <wp:effectExtent l="0" t="0" r="0" b="190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7063" cy="952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666E5A" w14:textId="77777777" w:rsidR="00275FB5" w:rsidRDefault="00275FB5" w:rsidP="00275FB5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uredbe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omnibus,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cilj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sprememba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finančnih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pravil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EU, da bi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postala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enostavnejša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uporabo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po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epidemiji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2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Predlog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uredbe</w:t>
                    </w:r>
                    <w:proofErr w:type="spellEnd"/>
                  </w:hyperlink>
                </w:p>
              </w:tc>
            </w:tr>
          </w:tbl>
          <w:p w14:paraId="7C2522F6" w14:textId="77777777" w:rsidR="00275FB5" w:rsidRDefault="00275FB5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0C497B5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7BB3014" w14:textId="77777777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Objavljena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dopolnjena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pojasnila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zaščiti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vlagateljev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  <w:t> </w:t>
                  </w:r>
                </w:p>
                <w:p w14:paraId="23303AB8" w14:textId="1DD9CA4A" w:rsidR="00275FB5" w:rsidRDefault="00275FB5" w:rsidP="00275FB5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/>
                      <w:noProof/>
                      <w:color w:val="606060"/>
                      <w:sz w:val="23"/>
                      <w:szCs w:val="23"/>
                    </w:rPr>
                    <w:drawing>
                      <wp:inline distT="0" distB="0" distL="0" distR="0" wp14:anchorId="2114310B" wp14:editId="1EDAC386">
                        <wp:extent cx="2406650" cy="968677"/>
                        <wp:effectExtent l="0" t="0" r="0" b="317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6390" cy="972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organ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papirje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(ESMA)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posodobljene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odgovore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vprašanja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zaščiti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vlagateljev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Posodobitev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nanaša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spodbude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MiFID (MiFID inducements).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4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Posodobljeni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odgovori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14:paraId="7A0C7710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86853E6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36CE2D39" w14:textId="77777777" w:rsidTr="00275FB5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275FB5" w14:paraId="0666FE3B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6748F7" w14:textId="77777777" w:rsidR="00275FB5" w:rsidRDefault="00275FB5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3833D063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EA9B395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485DC6F5" w14:textId="77777777" w:rsidTr="00275FB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1F51A45E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F5B26BB" w14:textId="5F44C162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Dodatnih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devet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milijard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skupno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kmetijsko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politiko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1EAA359C" wp14:editId="35FDE99A">
                        <wp:extent cx="2393950" cy="963565"/>
                        <wp:effectExtent l="0" t="0" r="6350" b="825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532" cy="965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E9B857" w14:textId="77777777" w:rsidR="00275FB5" w:rsidRDefault="00275FB5" w:rsidP="00275FB5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svojem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predlogu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dolgoročnega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finančnega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namenja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dodatnih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devet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skupno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kmetijsko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politiko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kmetijski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jamstveni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(EKJS)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predlaga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dodatne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4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kmetijski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razvoj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podeželja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(EKSRP) pa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dodatnih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5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milijard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6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Podrobnejša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pojasnila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povezavami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predloge</w:t>
                    </w:r>
                    <w:proofErr w:type="spellEnd"/>
                  </w:hyperlink>
                </w:p>
              </w:tc>
            </w:tr>
          </w:tbl>
          <w:p w14:paraId="1A1B7DEC" w14:textId="77777777" w:rsidR="00275FB5" w:rsidRDefault="00275FB5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7236171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BBA7D0F" w14:textId="77777777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Dodatna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sredstva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EU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raziskave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cepiva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Covid-19</w:t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  <w:t> </w:t>
                  </w:r>
                </w:p>
                <w:p w14:paraId="2C5C7660" w14:textId="448659E3" w:rsidR="00275FB5" w:rsidRDefault="00275FB5" w:rsidP="00275FB5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02D77525" wp14:editId="6D34E0DA">
                        <wp:extent cx="2413000" cy="971233"/>
                        <wp:effectExtent l="0" t="0" r="6350" b="63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724" cy="976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investicijska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banka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(EIB)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imunoterapevtsko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BioNTech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podpisala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100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milijonov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vreden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dogovor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financiranju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BNT162,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podjetje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razvija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cepivo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Covid-19.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Sredstvom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EIB se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pridružujeta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hyperlink r:id="rId18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InnovFin</w:t>
                    </w:r>
                    <w:proofErr w:type="spellEnd"/>
                  </w:hyperlink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okviru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Obzorje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2020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strateške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naložbe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2021B65D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0A66F2F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12FAF0ED" w14:textId="77777777" w:rsidTr="00275FB5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275FB5" w14:paraId="67DF2951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04312C" w14:textId="77777777" w:rsidR="00275FB5" w:rsidRDefault="00275FB5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7740FB70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FF963AD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1450BDBD" w14:textId="77777777" w:rsidTr="00275FB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059FCEEE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D71CACC" w14:textId="7951F380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Objavljeno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je novo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poročilo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modrem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gospodarstvu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color w:val="606060"/>
                      <w:spacing w:val="-8"/>
                    </w:rPr>
                    <w:lastRenderedPageBreak/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1EB5CD42" wp14:editId="4542D94B">
                        <wp:extent cx="2406650" cy="968677"/>
                        <wp:effectExtent l="0" t="0" r="0" b="317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194" cy="972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7DE3FA" w14:textId="77777777" w:rsidR="00275FB5" w:rsidRDefault="00275FB5" w:rsidP="00275FB5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poročilo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modrem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gospodarstvu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prvič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podrobneje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analizira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okoljsko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razsežnost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modrega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gospodarstva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njegov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delež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k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izpolnjevanju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ciljev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okolja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1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poročilo</w:t>
                    </w:r>
                    <w:proofErr w:type="spellEnd"/>
                  </w:hyperlink>
                </w:p>
              </w:tc>
            </w:tr>
          </w:tbl>
          <w:p w14:paraId="5ED24385" w14:textId="77777777" w:rsidR="00275FB5" w:rsidRDefault="00275FB5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25ACE97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37534F6" w14:textId="77777777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Objavljeni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rezultati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indeksa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digitalnega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gospodarstva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družbe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(DESI)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leto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2020</w:t>
                  </w:r>
                </w:p>
                <w:p w14:paraId="027D8D93" w14:textId="3C55AE7C" w:rsidR="00275FB5" w:rsidRDefault="00275FB5" w:rsidP="00275FB5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3F901507" wp14:editId="463FA6AC">
                        <wp:extent cx="2432050" cy="978900"/>
                        <wp:effectExtent l="0" t="0" r="635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9868" cy="98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rezultate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indeksa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digitalnega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gospodarstva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družbe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(DESI)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leto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2020 s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katerim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spremlja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splošno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uspešnost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napredek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članic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njihovi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konkurenčnosti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Slovenija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se po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indeksu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DESI z 51,2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točke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uvršča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16. mesto med 28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državami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Povprečje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EU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znaša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52,6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točke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Uspešnost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glede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lani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(48,7)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izboljšala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zaradi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napredka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vseh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kazalnikih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DESI,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največ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napredovala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področju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digitalnih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storitev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3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Poročilo</w:t>
                    </w:r>
                    <w:proofErr w:type="spellEnd"/>
                  </w:hyperlink>
                </w:p>
              </w:tc>
            </w:tr>
          </w:tbl>
          <w:p w14:paraId="75854263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88BB32E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61A2CD32" w14:textId="77777777" w:rsidTr="00275FB5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275FB5" w14:paraId="38C53C73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65DC68" w14:textId="77777777" w:rsidR="00275FB5" w:rsidRDefault="00275FB5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01ACEA3D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DA6E95C" w14:textId="77777777" w:rsidR="00275FB5" w:rsidRDefault="00275FB5" w:rsidP="00275F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275FB5" w14:paraId="06E824AF" w14:textId="77777777" w:rsidTr="00275FB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1BDDE6F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7533202" w14:textId="60C6DD38" w:rsidR="00275FB5" w:rsidRDefault="00275FB5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Rok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posvetovanja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tehničnih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standardih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repozitorije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sklenjenih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poslov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podaljšan</w:t>
                  </w:r>
                  <w:proofErr w:type="spellEnd"/>
                  <w:r>
                    <w:rPr>
                      <w:rFonts w:ascii="Helvetica" w:hAnsi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158372EE" wp14:editId="6DC52355">
                        <wp:extent cx="2393950" cy="963565"/>
                        <wp:effectExtent l="0" t="0" r="6350" b="825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5543" cy="968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B24A6C" w14:textId="77777777" w:rsidR="00275FB5" w:rsidRDefault="00275FB5" w:rsidP="00275FB5">
                  <w:pPr>
                    <w:spacing w:line="360" w:lineRule="auto"/>
                    <w:ind w:right="261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organ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papirje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(ESMA) je do 3.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julija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podaljšal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javno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tehničnih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standardih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poročanju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kakovosti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podatkov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dostopa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do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podatkov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registracijo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repozitorijev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sklenjenih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poslov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5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Javno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posvetovanje</w:t>
                    </w:r>
                    <w:proofErr w:type="spellEnd"/>
                  </w:hyperlink>
                </w:p>
              </w:tc>
            </w:tr>
          </w:tbl>
          <w:p w14:paraId="2AF1F0B0" w14:textId="77777777" w:rsidR="00275FB5" w:rsidRDefault="00275FB5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75FB5" w14:paraId="716798E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EAB65CF" w14:textId="77777777" w:rsidR="00275FB5" w:rsidRDefault="00275FB5" w:rsidP="008371C7">
                  <w:pPr>
                    <w:pStyle w:val="Heading3"/>
                    <w:spacing w:before="0" w:beforeAutospacing="0" w:after="0" w:afterAutospacing="0" w:line="300" w:lineRule="auto"/>
                    <w:ind w:right="261"/>
                    <w:jc w:val="both"/>
                    <w:rPr>
                      <w:rFonts w:ascii="Helvetica" w:hAnsi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Objavljena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je nova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metodologija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medsebojne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>preglede</w:t>
                  </w:r>
                  <w:proofErr w:type="spellEnd"/>
                  <w:r>
                    <w:rPr>
                      <w:rStyle w:val="Strong"/>
                      <w:rFonts w:ascii="Helvetica" w:hAnsi="Helvetica"/>
                      <w:b/>
                      <w:bCs/>
                      <w:color w:val="000080"/>
                      <w:spacing w:val="-8"/>
                    </w:rPr>
                    <w:t xml:space="preserve"> (peer review)</w:t>
                  </w:r>
                </w:p>
                <w:p w14:paraId="306D6FD2" w14:textId="7A5110A0" w:rsidR="00275FB5" w:rsidRDefault="00275FB5" w:rsidP="00275FB5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6EDCCF94" wp14:editId="4CF816D3">
                        <wp:extent cx="2413000" cy="971233"/>
                        <wp:effectExtent l="0" t="0" r="6350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4887" cy="976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organ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vrednostne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papirje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trge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(ESMA)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objavil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  novo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metodologijo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medsebojne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preglede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katero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vključilo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izboljšave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iz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prenovljene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uredbe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 xml:space="preserve"> ESMA.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DAA520"/>
                        <w:sz w:val="18"/>
                        <w:szCs w:val="18"/>
                      </w:rPr>
                      <w:t>Metodologija</w:t>
                    </w:r>
                    <w:proofErr w:type="spellEnd"/>
                  </w:hyperlink>
                </w:p>
              </w:tc>
            </w:tr>
          </w:tbl>
          <w:p w14:paraId="2E6229BE" w14:textId="77777777" w:rsidR="00275FB5" w:rsidRDefault="00275F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D4D36FA" w14:textId="77777777" w:rsidR="001E0747" w:rsidRPr="00275FB5" w:rsidRDefault="00DF0E96" w:rsidP="00275FB5"/>
    <w:sectPr w:rsidR="001E0747" w:rsidRPr="00275FB5" w:rsidSect="00275FB5">
      <w:headerReference w:type="first" r:id="rId2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06A7" w14:textId="77777777" w:rsidR="00DF0E96" w:rsidRDefault="00DF0E96" w:rsidP="00275FB5">
      <w:r>
        <w:separator/>
      </w:r>
    </w:p>
  </w:endnote>
  <w:endnote w:type="continuationSeparator" w:id="0">
    <w:p w14:paraId="20FCFD57" w14:textId="77777777" w:rsidR="00DF0E96" w:rsidRDefault="00DF0E96" w:rsidP="002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1A217" w14:textId="77777777" w:rsidR="00DF0E96" w:rsidRDefault="00DF0E96" w:rsidP="00275FB5">
      <w:r>
        <w:separator/>
      </w:r>
    </w:p>
  </w:footnote>
  <w:footnote w:type="continuationSeparator" w:id="0">
    <w:p w14:paraId="6BDD8AA3" w14:textId="77777777" w:rsidR="00DF0E96" w:rsidRDefault="00DF0E96" w:rsidP="002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B3C3" w14:textId="7A940E80" w:rsidR="00275FB5" w:rsidRDefault="00275FB5" w:rsidP="00275FB5">
    <w:pPr>
      <w:pStyle w:val="Header"/>
      <w:tabs>
        <w:tab w:val="clear" w:pos="4513"/>
        <w:tab w:val="clear" w:pos="9026"/>
        <w:tab w:val="left" w:pos="6490"/>
      </w:tabs>
    </w:pPr>
    <w:r>
      <w:tab/>
    </w:r>
    <w:r w:rsidRPr="00275FB5">
      <w:rPr>
        <w:rFonts w:ascii="Times New Roman" w:eastAsia="Times New Roman" w:hAnsi="Times New Roman" w:cs="Times New Roman"/>
        <w:noProof/>
        <w:sz w:val="24"/>
        <w:szCs w:val="24"/>
        <w:lang w:eastAsia="en-BE"/>
      </w:rPr>
      <w:drawing>
        <wp:inline distT="0" distB="0" distL="0" distR="0" wp14:anchorId="1CFD4288" wp14:editId="3AEE22F7">
          <wp:extent cx="5372100" cy="24193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41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B5"/>
    <w:rsid w:val="00275FB5"/>
    <w:rsid w:val="004B71C8"/>
    <w:rsid w:val="00775FAB"/>
    <w:rsid w:val="008371C7"/>
    <w:rsid w:val="00D347F8"/>
    <w:rsid w:val="00D507CB"/>
    <w:rsid w:val="00D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DD636"/>
  <w15:chartTrackingRefBased/>
  <w15:docId w15:val="{004A877E-BD13-41CB-9B38-FEF0746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B5"/>
    <w:pPr>
      <w:spacing w:after="0" w:line="240" w:lineRule="auto"/>
    </w:pPr>
    <w:rPr>
      <w:rFonts w:ascii="Calibri" w:hAnsi="Calibri" w:cs="Times New Roman"/>
      <w:lang w:eastAsia="en-BE"/>
    </w:rPr>
  </w:style>
  <w:style w:type="paragraph" w:styleId="Heading3">
    <w:name w:val="heading 3"/>
    <w:basedOn w:val="Normal"/>
    <w:link w:val="Heading3Char"/>
    <w:uiPriority w:val="9"/>
    <w:qFormat/>
    <w:rsid w:val="00275FB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5FB5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275F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5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FB5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75FB5"/>
  </w:style>
  <w:style w:type="paragraph" w:styleId="Footer">
    <w:name w:val="footer"/>
    <w:basedOn w:val="Normal"/>
    <w:link w:val="FooterChar"/>
    <w:uiPriority w:val="99"/>
    <w:unhideWhenUsed/>
    <w:rsid w:val="00275FB5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sbra.us8.list-manage.com/track/click?u=e6e6edab27aee286b10f651f9&amp;id=12a00fdaf2&amp;e=4c4d9f6b81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3a725c930b&amp;e=4c4d9f6b81" TargetMode="External"/><Relationship Id="rId7" Type="http://schemas.openxmlformats.org/officeDocument/2006/relationships/hyperlink" Target="https://sbra.us8.list-manage.com/track/click?u=e6e6edab27aee286b10f651f9&amp;id=6c6094036b&amp;e=4c4d9f6b81" TargetMode="External"/><Relationship Id="rId12" Type="http://schemas.openxmlformats.org/officeDocument/2006/relationships/hyperlink" Target="https://sbra.us8.list-manage.com/track/click?u=e6e6edab27aee286b10f651f9&amp;id=655168243a&amp;e=4c4d9f6b81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bra.us8.list-manage.com/track/click?u=e6e6edab27aee286b10f651f9&amp;id=de46e05a45&amp;e=4c4d9f6b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2521268beb&amp;e=4c4d9f6b81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sbra.us8.list-manage.com/track/click?u=e6e6edab27aee286b10f651f9&amp;id=684f319c1a&amp;e=4c4d9f6b8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bra.us8.list-manage.com/track/click?u=e6e6edab27aee286b10f651f9&amp;id=68d039ce4f&amp;e=4c4d9f6b81" TargetMode="External"/><Relationship Id="rId19" Type="http://schemas.openxmlformats.org/officeDocument/2006/relationships/hyperlink" Target="https://sbra.us8.list-manage.com/track/click?u=e6e6edab27aee286b10f651f9&amp;id=0c9a174a23&amp;e=4c4d9f6b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bra.us8.list-manage.com/track/click?u=e6e6edab27aee286b10f651f9&amp;id=193ce6f9b4&amp;e=4c4d9f6b81" TargetMode="External"/><Relationship Id="rId14" Type="http://schemas.openxmlformats.org/officeDocument/2006/relationships/hyperlink" Target="https://sbra.us8.list-manage.com/track/click?u=e6e6edab27aee286b10f651f9&amp;id=2e19ea171a&amp;e=4c4d9f6b81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sbra.us8.list-manage.com/track/click?u=e6e6edab27aee286b10f651f9&amp;id=5a4c8e5f9b&amp;e=4c4d9f6b81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bostjansinkovec@yahoo.com</dc:creator>
  <cp:keywords/>
  <dc:description/>
  <cp:lastModifiedBy>bostjansinkovec@yahoo.com</cp:lastModifiedBy>
  <cp:revision>3</cp:revision>
  <dcterms:created xsi:type="dcterms:W3CDTF">2020-06-12T13:17:00Z</dcterms:created>
  <dcterms:modified xsi:type="dcterms:W3CDTF">2020-06-12T13:23:00Z</dcterms:modified>
</cp:coreProperties>
</file>