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ED277B" w14:paraId="7600EBD9" w14:textId="77777777" w:rsidTr="00ED277B">
        <w:trPr>
          <w:jc w:val="center"/>
        </w:trPr>
        <w:tc>
          <w:tcPr>
            <w:tcW w:w="0" w:type="auto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D277B" w14:paraId="296BA77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D277B" w14:paraId="43957906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ED277B" w14:paraId="1505C7BB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7AF1458A" w14:textId="73483D7B" w:rsidR="00ED277B" w:rsidRDefault="00ED277B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drawing>
                                  <wp:inline distT="0" distB="0" distL="0" distR="0" wp14:anchorId="4B7EAC83" wp14:editId="2B519184">
                                    <wp:extent cx="5372100" cy="2400300"/>
                                    <wp:effectExtent l="0" t="0" r="0" b="0"/>
                                    <wp:docPr id="11" name="Picture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2100" cy="2400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19CC0982" w14:textId="77777777" w:rsidR="00ED277B" w:rsidRDefault="00ED277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850A8E1" w14:textId="77777777" w:rsidR="00ED277B" w:rsidRDefault="00ED277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2035C84" w14:textId="77777777" w:rsidR="00ED277B" w:rsidRDefault="00ED2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277B" w14:paraId="37F07D57" w14:textId="77777777" w:rsidTr="00ED277B">
        <w:trPr>
          <w:jc w:val="center"/>
        </w:trPr>
        <w:tc>
          <w:tcPr>
            <w:tcW w:w="0" w:type="auto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ED277B" w14:paraId="4A5C207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ED277B" w14:paraId="74040CC8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13"/>
                          <w:gridCol w:w="4513"/>
                        </w:tblGrid>
                        <w:tr w:rsidR="00ED277B" w14:paraId="2C5D16B9" w14:textId="77777777"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45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13"/>
                              </w:tblGrid>
                              <w:tr w:rsidR="00ED277B" w14:paraId="03430C96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1C64D101" w14:textId="77777777" w:rsidR="00ED277B" w:rsidRDefault="00ED277B">
                                    <w:pPr>
                                      <w:pStyle w:val="Heading3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Nova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spletna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stran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službe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pomoč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na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področju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intelektualne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lastnine</w:t>
                                    </w:r>
                                    <w:proofErr w:type="spellEnd"/>
                                  </w:p>
                                  <w:p w14:paraId="62B2DFDD" w14:textId="56F99EB5" w:rsidR="00ED277B" w:rsidRDefault="00ED277B">
                                    <w:pPr>
                                      <w:spacing w:line="36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noProof/>
                                        <w:color w:val="606060"/>
                                        <w:sz w:val="18"/>
                                        <w:szCs w:val="18"/>
                                      </w:rPr>
                                      <w:drawing>
                                        <wp:inline distT="0" distB="0" distL="0" distR="0" wp14:anchorId="55AD086D" wp14:editId="48CC0C1D">
                                          <wp:extent cx="2543175" cy="1019175"/>
                                          <wp:effectExtent l="0" t="0" r="9525" b="9525"/>
                                          <wp:docPr id="10" name="Picture 1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43175" cy="10191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Vzpostavljena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je nova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spletna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stran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službe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pomoč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na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področju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intelektualne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lastnine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(Intellectual Property Helpdesk),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pod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eno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streho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združuje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regionalne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službe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za pet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trgov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so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Kitajska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Evropa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Latinska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Amerika,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Jugovzhodna-Azija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Indija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Več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6" w:history="1"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Spletna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stran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službe</w:t>
                                      </w:r>
                                      <w:proofErr w:type="spellEnd"/>
                                    </w:hyperlink>
                                  </w:p>
                                </w:tc>
                              </w:tr>
                            </w:tbl>
                            <w:p w14:paraId="3E468E2A" w14:textId="77777777" w:rsidR="00ED277B" w:rsidRDefault="00ED277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45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13"/>
                              </w:tblGrid>
                              <w:tr w:rsidR="00ED277B" w14:paraId="5B6EA09B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33C8B987" w14:textId="77777777" w:rsidR="00ED277B" w:rsidRDefault="00ED277B">
                                    <w:pPr>
                                      <w:pStyle w:val="Heading3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Nova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pravila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obdavčevanje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prodaje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prek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digitalnih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platform </w:t>
                                    </w:r>
                                  </w:p>
                                  <w:p w14:paraId="36823979" w14:textId="77777777" w:rsidR="00ED277B" w:rsidRDefault="00ED277B">
                                    <w:pPr>
                                      <w:spacing w:line="360" w:lineRule="auto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  </w:t>
                                    </w:r>
                                  </w:p>
                                  <w:p w14:paraId="3CE3B119" w14:textId="25E3660A" w:rsidR="00ED277B" w:rsidRDefault="00ED277B">
                                    <w:pPr>
                                      <w:pStyle w:val="Heading3"/>
                                      <w:jc w:val="both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6A292F43" wp14:editId="41F317C3">
                                          <wp:extent cx="2543175" cy="1019175"/>
                                          <wp:effectExtent l="0" t="0" r="9525" b="9525"/>
                                          <wp:docPr id="9" name="Picture 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43175" cy="10191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060DD345" w14:textId="77777777" w:rsidR="00ED277B" w:rsidRDefault="00ED277B">
                                    <w:pPr>
                                      <w:spacing w:line="36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Države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članice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so v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okviru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Sveta EU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sprejele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spremembe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direktive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o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upravnem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sodelovanju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na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področju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obdavčevanja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. Nova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pravila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zajemajo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digitalne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platforme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v EU in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zunaj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nje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in se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bodo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uporabljala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od 1.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januarja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2023.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Nacionalnim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davčnim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organom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naj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bi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omogočala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, da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bodo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zaznali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dohodke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ustvarjene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prek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digitalnih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platform, in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določili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ustrezne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davčne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obveznosti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Več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8" w:history="1"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Nova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direktiva</w:t>
                                      </w:r>
                                      <w:proofErr w:type="spellEnd"/>
                                    </w:hyperlink>
                                  </w:p>
                                </w:tc>
                              </w:tr>
                            </w:tbl>
                            <w:p w14:paraId="3E145065" w14:textId="77777777" w:rsidR="00ED277B" w:rsidRDefault="00ED277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A3D7D7E" w14:textId="77777777" w:rsidR="00ED277B" w:rsidRDefault="00ED277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A6B55D5" w14:textId="77777777" w:rsidR="00ED277B" w:rsidRDefault="00ED277B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ED277B" w14:paraId="20C40A1B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6" w:space="0" w:color="DAA52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86"/>
                        </w:tblGrid>
                        <w:tr w:rsidR="00ED277B" w14:paraId="4777FA30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DAA520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62C8ABE9" w14:textId="77777777" w:rsidR="00ED277B" w:rsidRDefault="00ED277B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60C5D688" w14:textId="77777777" w:rsidR="00ED277B" w:rsidRDefault="00ED277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BC47A76" w14:textId="77777777" w:rsidR="00ED277B" w:rsidRDefault="00ED277B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ED277B" w14:paraId="74324FDF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13"/>
                          <w:gridCol w:w="4513"/>
                        </w:tblGrid>
                        <w:tr w:rsidR="00ED277B" w14:paraId="3B6AF6F3" w14:textId="77777777"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45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13"/>
                              </w:tblGrid>
                              <w:tr w:rsidR="00ED277B" w14:paraId="3C586E28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5B9AD3BD" w14:textId="0195EF24" w:rsidR="00ED277B" w:rsidRDefault="00ED277B">
                                    <w:pPr>
                                      <w:pStyle w:val="Heading3"/>
                                      <w:rPr>
                                        <w:rFonts w:eastAsia="Times New Roman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Posvetovanje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o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okviru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sklade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denarnih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trgov</w:t>
                                    </w:r>
                                    <w:proofErr w:type="spellEnd"/>
                                    <w:r>
                                      <w:rPr>
                                        <w:rFonts w:eastAsia="Times New Roman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eastAsia="Times New Roman"/>
                                      </w:rPr>
                                      <w:lastRenderedPageBreak/>
                                      <w:br/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49070C3C" wp14:editId="24A5A41F">
                                          <wp:extent cx="2543175" cy="1019175"/>
                                          <wp:effectExtent l="0" t="0" r="9525" b="9525"/>
                                          <wp:docPr id="8" name="Picture 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43175" cy="10191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5DB9CF74" w14:textId="77777777" w:rsidR="00ED277B" w:rsidRDefault="00ED277B">
                                    <w:pPr>
                                      <w:spacing w:line="36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Evropski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organ 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vrednostne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papirje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trge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(ESMA)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prek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posvetovanja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do 30.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Junija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zbira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mnenja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predloge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o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okviru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sklade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denarnih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trgov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Več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10" w:history="1"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Posvetovanje</w:t>
                                      </w:r>
                                      <w:proofErr w:type="spellEnd"/>
                                    </w:hyperlink>
                                  </w:p>
                                </w:tc>
                              </w:tr>
                            </w:tbl>
                            <w:p w14:paraId="2786C648" w14:textId="77777777" w:rsidR="00ED277B" w:rsidRDefault="00ED277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45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13"/>
                              </w:tblGrid>
                              <w:tr w:rsidR="00ED277B" w14:paraId="1524A5A2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78717226" w14:textId="77777777" w:rsidR="00ED277B" w:rsidRDefault="00ED277B">
                                    <w:pPr>
                                      <w:pStyle w:val="Heading3"/>
                                      <w:rPr>
                                        <w:rFonts w:eastAsia="Times New Roman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lastRenderedPageBreak/>
                                      <w:t>Evropska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komisija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je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predlagala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uvedbo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digitalnega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zelenega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potrdila</w:t>
                                    </w:r>
                                    <w:proofErr w:type="spellEnd"/>
                                  </w:p>
                                  <w:p w14:paraId="33350C46" w14:textId="69FEFE26" w:rsidR="00ED277B" w:rsidRDefault="00ED277B">
                                    <w:pPr>
                                      <w:spacing w:line="36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noProof/>
                                        <w:color w:val="606060"/>
                                        <w:sz w:val="23"/>
                                        <w:szCs w:val="23"/>
                                      </w:rPr>
                                      <w:lastRenderedPageBreak/>
                                      <w:drawing>
                                        <wp:inline distT="0" distB="0" distL="0" distR="0" wp14:anchorId="2E6D2D0B" wp14:editId="0F23C310">
                                          <wp:extent cx="2543175" cy="1019175"/>
                                          <wp:effectExtent l="0" t="0" r="9525" b="9525"/>
                                          <wp:docPr id="7" name="Picture 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43175" cy="10191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Evropska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komisija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je 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olajšanje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varnega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prostega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gibanja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znotraj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EU med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pandemijo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Covida-19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predlagala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uvedbo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digitalnega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zelenega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potrdila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naj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bi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dokazovalo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, da je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bila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oseba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cepljena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proti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Covidu-19, da je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prejela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negativen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rezultat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testa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ali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pa da je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prebolela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Covid-19.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Več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12" w:history="1"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Predlog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uredbe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o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digitalnem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zelenem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potrdilu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za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olajšanje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prostega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gibanja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v EU</w:t>
                                      </w:r>
                                    </w:hyperlink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in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13" w:history="1"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Predlog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uredbe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o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digitalnih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zelenih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potrdilih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za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državljane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tretjih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držav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,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ki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se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zakonito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zadržujejo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ali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zakonito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prebivajo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v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državah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članicah</w:t>
                                      </w:r>
                                      <w:proofErr w:type="spellEnd"/>
                                    </w:hyperlink>
                                  </w:p>
                                </w:tc>
                              </w:tr>
                            </w:tbl>
                            <w:p w14:paraId="39F30747" w14:textId="77777777" w:rsidR="00ED277B" w:rsidRDefault="00ED277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1909F0C" w14:textId="77777777" w:rsidR="00ED277B" w:rsidRDefault="00ED277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92F06E9" w14:textId="77777777" w:rsidR="00ED277B" w:rsidRDefault="00ED277B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ED277B" w14:paraId="51EE76D7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6" w:space="0" w:color="DAA52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86"/>
                        </w:tblGrid>
                        <w:tr w:rsidR="00ED277B" w14:paraId="3BA03D10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DAA520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2C28FDE0" w14:textId="77777777" w:rsidR="00ED277B" w:rsidRDefault="00ED277B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0D535B9E" w14:textId="77777777" w:rsidR="00ED277B" w:rsidRDefault="00ED277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4520A05" w14:textId="77777777" w:rsidR="00ED277B" w:rsidRDefault="00ED277B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ED277B" w14:paraId="580A5A08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13"/>
                          <w:gridCol w:w="4513"/>
                        </w:tblGrid>
                        <w:tr w:rsidR="00ED277B" w14:paraId="1648234A" w14:textId="77777777"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45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13"/>
                              </w:tblGrid>
                              <w:tr w:rsidR="00ED277B" w14:paraId="476F01E4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1A573B95" w14:textId="6455C748" w:rsidR="00ED277B" w:rsidRDefault="00ED277B">
                                    <w:pPr>
                                      <w:pStyle w:val="Heading3"/>
                                      <w:rPr>
                                        <w:rFonts w:eastAsia="Times New Roman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Evropska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komisija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je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odobrila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shemo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pomoč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slovenskim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proizvajalcem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jabolk</w:t>
                                    </w:r>
                                    <w:proofErr w:type="spellEnd"/>
                                    <w:r>
                                      <w:rPr>
                                        <w:rFonts w:eastAsia="Times New Roman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2D65D145" wp14:editId="437E6E2F">
                                          <wp:extent cx="2543175" cy="1019175"/>
                                          <wp:effectExtent l="0" t="0" r="9525" b="9525"/>
                                          <wp:docPr id="6" name="Picture 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43175" cy="10191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1F958DD6" w14:textId="77777777" w:rsidR="00ED277B" w:rsidRDefault="00ED277B">
                                    <w:pPr>
                                      <w:spacing w:line="36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Evropska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komisija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je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odobrila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slovensko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shemo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, 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pomoč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proizvajalcem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jabolk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jih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je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prizadela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kriza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zaradi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novega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koronavirusa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,, v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višini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4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milijone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evrov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Več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15" w:history="1"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Sklep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Evropske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komisije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pod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številko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SA.62223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8A855AF" w14:textId="77777777" w:rsidR="00ED277B" w:rsidRDefault="00ED277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45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13"/>
                              </w:tblGrid>
                              <w:tr w:rsidR="00ED277B" w14:paraId="02039B80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3CEBC37C" w14:textId="77777777" w:rsidR="00ED277B" w:rsidRDefault="00ED277B">
                                    <w:pPr>
                                      <w:pStyle w:val="Heading3"/>
                                      <w:rPr>
                                        <w:rFonts w:eastAsia="Times New Roman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Evropska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komisija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je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začela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javno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posvetovanje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o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razogljičenju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trga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plina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EU</w:t>
                                    </w:r>
                                  </w:p>
                                  <w:p w14:paraId="3BB74CA1" w14:textId="160C281A" w:rsidR="00ED277B" w:rsidRDefault="00ED277B">
                                    <w:pPr>
                                      <w:spacing w:line="36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noProof/>
                                        <w:color w:val="606060"/>
                                        <w:sz w:val="18"/>
                                        <w:szCs w:val="18"/>
                                      </w:rPr>
                                      <w:drawing>
                                        <wp:inline distT="0" distB="0" distL="0" distR="0" wp14:anchorId="361A087A" wp14:editId="71F318D2">
                                          <wp:extent cx="2543175" cy="1019175"/>
                                          <wp:effectExtent l="0" t="0" r="9525" b="9525"/>
                                          <wp:docPr id="5" name="Picture 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43175" cy="10191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Evropska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komisija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je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začela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javno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posvetovanje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o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razogljičenju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trga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plina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EU.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Mnenja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jih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bo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zbrala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do 18.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junija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bodo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podlaga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pripravo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zakonodajne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pobude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na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tem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področju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Več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17" w:history="1"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Vprašalnik</w:t>
                                      </w:r>
                                      <w:proofErr w:type="spellEnd"/>
                                    </w:hyperlink>
                                  </w:p>
                                </w:tc>
                              </w:tr>
                            </w:tbl>
                            <w:p w14:paraId="5F713D43" w14:textId="77777777" w:rsidR="00ED277B" w:rsidRDefault="00ED277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87E803C" w14:textId="77777777" w:rsidR="00ED277B" w:rsidRDefault="00ED277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02CD5C0" w14:textId="77777777" w:rsidR="00ED277B" w:rsidRDefault="00ED277B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ED277B" w14:paraId="77DD27FC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6" w:space="0" w:color="DAA52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86"/>
                        </w:tblGrid>
                        <w:tr w:rsidR="00ED277B" w14:paraId="6BBB5045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DAA520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7310EF5A" w14:textId="77777777" w:rsidR="00ED277B" w:rsidRDefault="00ED277B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0C035B95" w14:textId="77777777" w:rsidR="00ED277B" w:rsidRDefault="00ED277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A53EBF9" w14:textId="77777777" w:rsidR="00ED277B" w:rsidRDefault="00ED277B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ED277B" w14:paraId="4C132F60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13"/>
                          <w:gridCol w:w="4513"/>
                        </w:tblGrid>
                        <w:tr w:rsidR="00ED277B" w14:paraId="73CCCEFA" w14:textId="77777777"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45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13"/>
                              </w:tblGrid>
                              <w:tr w:rsidR="00ED277B" w14:paraId="771F017F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0090B25C" w14:textId="4C5DC933" w:rsidR="00ED277B" w:rsidRDefault="00ED277B">
                                    <w:pPr>
                                      <w:pStyle w:val="Heading3"/>
                                      <w:rPr>
                                        <w:rFonts w:eastAsia="Times New Roman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lastRenderedPageBreak/>
                                      <w:t>Objavljen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je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priročnik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izvoznike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kemikalij</w:t>
                                    </w:r>
                                    <w:proofErr w:type="spellEnd"/>
                                    <w:r>
                                      <w:rPr>
                                        <w:rFonts w:eastAsia="Times New Roman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eastAsia="Times New Roman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1FC403F1" wp14:editId="78BED77D">
                                          <wp:extent cx="2543175" cy="1019175"/>
                                          <wp:effectExtent l="0" t="0" r="9525" b="9525"/>
                                          <wp:docPr id="4" name="Picture 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43175" cy="10191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4A17337C" w14:textId="77777777" w:rsidR="00ED277B" w:rsidRDefault="00ED277B">
                                    <w:pPr>
                                      <w:spacing w:line="36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Ker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več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instrumentov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EU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določa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pravila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izvoz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kemikalij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, so se  v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Skupnem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raziskovalnem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središču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(JRC)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Evropski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komisiji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odločili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izdati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kratek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pregled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v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obliki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priročnika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Več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19" w:history="1"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Priročnik</w:t>
                                      </w:r>
                                      <w:proofErr w:type="spellEnd"/>
                                    </w:hyperlink>
                                  </w:p>
                                </w:tc>
                              </w:tr>
                            </w:tbl>
                            <w:p w14:paraId="7B896E8D" w14:textId="77777777" w:rsidR="00ED277B" w:rsidRDefault="00ED277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45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13"/>
                              </w:tblGrid>
                              <w:tr w:rsidR="00ED277B" w14:paraId="23F76AE5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62631C85" w14:textId="77777777" w:rsidR="00ED277B" w:rsidRDefault="00ED277B">
                                    <w:pPr>
                                      <w:pStyle w:val="Heading3"/>
                                      <w:rPr>
                                        <w:rFonts w:eastAsia="Times New Roman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Evropski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parlament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je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sprejel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zakone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o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izvajanju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sistema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virov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lastnih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sredstev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EU</w:t>
                                    </w:r>
                                  </w:p>
                                  <w:p w14:paraId="0F49F98E" w14:textId="324A94E6" w:rsidR="00ED277B" w:rsidRDefault="00ED277B">
                                    <w:pPr>
                                      <w:spacing w:line="36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noProof/>
                                        <w:color w:val="606060"/>
                                        <w:sz w:val="18"/>
                                        <w:szCs w:val="18"/>
                                      </w:rPr>
                                      <w:drawing>
                                        <wp:inline distT="0" distB="0" distL="0" distR="0" wp14:anchorId="3DD8034D" wp14:editId="00756259">
                                          <wp:extent cx="2543175" cy="1019175"/>
                                          <wp:effectExtent l="0" t="0" r="9525" b="9525"/>
                                          <wp:docPr id="3" name="Picture 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43175" cy="10191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Evropski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parlament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je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sprejel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zakone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o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izvajanju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sistema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virov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lastnih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sredstev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EU.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Odobril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je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tudi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uporabo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sredstev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750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milijard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evrov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vrednega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sklada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okrevanje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in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odpornost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Naslednja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generacija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EU.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Več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21" w:history="1"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Resolucija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o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sistemu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lastnih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virov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in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22" w:history="1"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Resolucija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Lastna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sredstva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iz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naslova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odpadne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plastične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embalaže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in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23" w:history="1"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Resolucija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Zbiranje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lastnih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sredstev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,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pridobljenih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iz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davka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na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dodano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vrednost</w:t>
                                      </w:r>
                                      <w:proofErr w:type="spellEnd"/>
                                    </w:hyperlink>
                                  </w:p>
                                </w:tc>
                              </w:tr>
                            </w:tbl>
                            <w:p w14:paraId="65CC9068" w14:textId="77777777" w:rsidR="00ED277B" w:rsidRDefault="00ED277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32D4DED" w14:textId="77777777" w:rsidR="00ED277B" w:rsidRDefault="00ED277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70D4B25" w14:textId="77777777" w:rsidR="00ED277B" w:rsidRDefault="00ED277B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ED277B" w14:paraId="3351B298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6" w:space="0" w:color="DAA52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86"/>
                        </w:tblGrid>
                        <w:tr w:rsidR="00ED277B" w14:paraId="08E4033B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DAA520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7408990A" w14:textId="77777777" w:rsidR="00ED277B" w:rsidRDefault="00ED277B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2E5CA5CF" w14:textId="77777777" w:rsidR="00ED277B" w:rsidRDefault="00ED277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03D3421" w14:textId="77777777" w:rsidR="00ED277B" w:rsidRDefault="00ED277B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ED277B" w14:paraId="04A55375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13"/>
                          <w:gridCol w:w="4513"/>
                        </w:tblGrid>
                        <w:tr w:rsidR="00ED277B" w14:paraId="728DED1B" w14:textId="77777777"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45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13"/>
                              </w:tblGrid>
                              <w:tr w:rsidR="00ED277B" w14:paraId="3A288CD9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2705B7B2" w14:textId="4E73E05C" w:rsidR="00ED277B" w:rsidRDefault="00ED277B">
                                    <w:pPr>
                                      <w:pStyle w:val="Heading3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Nova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večjezična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digitalna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platforma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sodelovanje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na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konferenci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o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prihodnosti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Evrope</w:t>
                                    </w:r>
                                    <w:proofErr w:type="spellEnd"/>
                                    <w:r>
                                      <w:rPr>
                                        <w:rFonts w:eastAsia="Times New Roman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23037724" wp14:editId="697F29CF">
                                          <wp:extent cx="2543175" cy="1019175"/>
                                          <wp:effectExtent l="0" t="0" r="9525" b="9525"/>
                                          <wp:docPr id="2" name="Picture 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43175" cy="10191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2164FC1C" w14:textId="77777777" w:rsidR="00ED277B" w:rsidRDefault="00ED277B">
                                    <w:pPr>
                                      <w:spacing w:line="36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Z 19.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aprilom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bo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začela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delovati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nova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večjezična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digitalna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platforma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bo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državljanom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po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vsej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EU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omogočila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sodelovanje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na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konferenci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o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prihodnosti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Evrope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Več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25" w:history="1"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Sporočilo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Evropske</w:t>
                                      </w:r>
                                      <w:proofErr w:type="spellEnd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komisije</w:t>
                                      </w:r>
                                      <w:proofErr w:type="spellEnd"/>
                                    </w:hyperlink>
                                  </w:p>
                                </w:tc>
                              </w:tr>
                            </w:tbl>
                            <w:p w14:paraId="40B03008" w14:textId="77777777" w:rsidR="00ED277B" w:rsidRDefault="00ED277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5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45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13"/>
                              </w:tblGrid>
                              <w:tr w:rsidR="00ED277B" w14:paraId="7617F2B8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422F7C85" w14:textId="77777777" w:rsidR="00ED277B" w:rsidRDefault="00ED277B">
                                    <w:pPr>
                                      <w:pStyle w:val="Heading3"/>
                                      <w:rPr>
                                        <w:rFonts w:eastAsia="Times New Roman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Objavljeno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je novo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poročilo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o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ostankih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pesticidov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 xml:space="preserve"> v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  <w:color w:val="000080"/>
                                      </w:rPr>
                                      <w:t>hrani</w:t>
                                    </w:r>
                                    <w:proofErr w:type="spellEnd"/>
                                  </w:p>
                                  <w:p w14:paraId="32C8DD73" w14:textId="77777777" w:rsidR="00ED277B" w:rsidRDefault="00ED277B">
                                    <w:pPr>
                                      <w:spacing w:line="360" w:lineRule="auto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  <w:t xml:space="preserve">  </w:t>
                                    </w:r>
                                  </w:p>
                                  <w:p w14:paraId="5EE4442A" w14:textId="03AB7461" w:rsidR="00ED277B" w:rsidRDefault="00ED277B">
                                    <w:pPr>
                                      <w:spacing w:line="36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noProof/>
                                        <w:color w:val="606060"/>
                                        <w:sz w:val="18"/>
                                        <w:szCs w:val="18"/>
                                      </w:rPr>
                                      <w:drawing>
                                        <wp:inline distT="0" distB="0" distL="0" distR="0" wp14:anchorId="56FE7592" wp14:editId="0A97FC01">
                                          <wp:extent cx="2543175" cy="1019175"/>
                                          <wp:effectExtent l="0" t="0" r="9525" b="9525"/>
                                          <wp:docPr id="1" name="Picture 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43175" cy="10191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Evropska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agencija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za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varnost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hrane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(EFSA) je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objavila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novo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poročilo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o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ostankih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pesticidov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v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hrani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ki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kaže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, da je 96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odstotkov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analiziranih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vzorcev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v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okviru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dovoljenih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meja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Več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Arial" w:eastAsia="Times New Roman" w:hAnsi="Arial" w:cs="Arial"/>
                                        <w:color w:val="606060"/>
                                        <w:sz w:val="18"/>
                                        <w:szCs w:val="18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60606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hyperlink r:id="rId27" w:history="1">
                                      <w:proofErr w:type="spellStart"/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DAA520"/>
                                          <w:sz w:val="18"/>
                                          <w:szCs w:val="18"/>
                                        </w:rPr>
                                        <w:t>Poročilo</w:t>
                                      </w:r>
                                      <w:proofErr w:type="spellEnd"/>
                                    </w:hyperlink>
                                  </w:p>
                                </w:tc>
                              </w:tr>
                            </w:tbl>
                            <w:p w14:paraId="0FC77987" w14:textId="77777777" w:rsidR="00ED277B" w:rsidRDefault="00ED277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9CE266F" w14:textId="77777777" w:rsidR="00ED277B" w:rsidRDefault="00ED277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57F6EE4" w14:textId="77777777" w:rsidR="00ED277B" w:rsidRDefault="00ED277B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ED277B" w14:paraId="30ECDE4A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6" w:space="0" w:color="DAA52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86"/>
                        </w:tblGrid>
                        <w:tr w:rsidR="00ED277B" w14:paraId="40ED5790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DAA520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14CE144C" w14:textId="77777777" w:rsidR="00ED277B" w:rsidRDefault="00ED277B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6C4512BD" w14:textId="77777777" w:rsidR="00ED277B" w:rsidRDefault="00ED277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A1879A7" w14:textId="77777777" w:rsidR="00ED277B" w:rsidRDefault="00ED277B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ED277B" w14:paraId="5159D462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6"/>
                        </w:tblGrid>
                        <w:tr w:rsidR="00ED277B" w14:paraId="42E55F90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26"/>
                              </w:tblGrid>
                              <w:tr w:rsidR="00ED277B" w14:paraId="58B7FB8D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67FFBB0E" w14:textId="77777777" w:rsidR="00ED277B" w:rsidRDefault="00ED277B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Style w:val="Emphasis"/>
                                        <w:rFonts w:ascii="Helvetica" w:eastAsia="Times New Roman" w:hAnsi="Helvetica" w:cs="Helvetica"/>
                                        <w:color w:val="000080"/>
                                        <w:sz w:val="18"/>
                                        <w:szCs w:val="18"/>
                                      </w:rPr>
                                      <w:t>Copyright © 2021 Slovenian Business &amp; Research Association (SBRA), All rights reserved.</w:t>
                                    </w:r>
                                  </w:p>
                                </w:tc>
                              </w:tr>
                            </w:tbl>
                            <w:p w14:paraId="253A268B" w14:textId="77777777" w:rsidR="00ED277B" w:rsidRDefault="00ED277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48FF293" w14:textId="77777777" w:rsidR="00ED277B" w:rsidRDefault="00ED277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E358B7D" w14:textId="77777777" w:rsidR="00ED277B" w:rsidRDefault="00ED277B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ED277B" w14:paraId="3EFE0D63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6"/>
                        </w:tblGrid>
                        <w:tr w:rsidR="00ED277B" w14:paraId="446AF7F2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26"/>
                              </w:tblGrid>
                              <w:tr w:rsidR="00ED277B" w14:paraId="0C1B94E6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67353D15" w14:textId="77777777" w:rsidR="00ED277B" w:rsidRDefault="00ED277B">
                                    <w:pPr>
                                      <w:pStyle w:val="Heading3"/>
                                      <w:jc w:val="both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 </w:t>
                                    </w:r>
                                  </w:p>
                                  <w:tbl>
                                    <w:tblPr>
                                      <w:tblW w:w="8895" w:type="dxa"/>
                                      <w:tblBorders>
                                        <w:top w:val="outset" w:sz="6" w:space="0" w:color="auto"/>
                                        <w:left w:val="outset" w:sz="6" w:space="0" w:color="auto"/>
                                        <w:bottom w:val="outset" w:sz="6" w:space="0" w:color="auto"/>
                                        <w:right w:val="outset" w:sz="6" w:space="0" w:color="auto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256"/>
                                      <w:gridCol w:w="7574"/>
                                      <w:gridCol w:w="65"/>
                                    </w:tblGrid>
                                    <w:tr w:rsidR="00ED277B" w14:paraId="023A228E" w14:textId="77777777">
                                      <w:trPr>
                                        <w:trHeight w:val="60"/>
                                      </w:trPr>
                                      <w:tc>
                                        <w:tcPr>
                                          <w:tcW w:w="1275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0754672" w14:textId="77777777" w:rsidR="00ED277B" w:rsidRDefault="00ED277B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695" w:type="dxa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E1C2189" w14:textId="77777777" w:rsidR="00ED277B" w:rsidRDefault="00ED277B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83F5F5D" w14:textId="77777777" w:rsidR="00ED277B" w:rsidRDefault="00ED277B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B4C606B" w14:textId="77777777" w:rsidR="00ED277B" w:rsidRDefault="00ED277B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92BE7DE" w14:textId="77777777" w:rsidR="00ED277B" w:rsidRDefault="00ED277B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6B6D45E" w14:textId="77777777" w:rsidR="00ED277B" w:rsidRDefault="00ED277B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35476BE" w14:textId="77777777" w:rsidR="00ED277B" w:rsidRDefault="00ED277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B55DC47" w14:textId="77777777" w:rsidR="00ED277B" w:rsidRDefault="00ED27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876FA50" w14:textId="77777777" w:rsidR="001E0747" w:rsidRDefault="00ED277B"/>
    <w:sectPr w:rsidR="001E07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77B"/>
    <w:rsid w:val="00775FAB"/>
    <w:rsid w:val="00D347F8"/>
    <w:rsid w:val="00ED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2FE58F"/>
  <w15:chartTrackingRefBased/>
  <w15:docId w15:val="{870EF91D-8A92-47F3-89CC-A23DDB58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77B"/>
    <w:pPr>
      <w:spacing w:after="0" w:line="240" w:lineRule="auto"/>
    </w:pPr>
    <w:rPr>
      <w:rFonts w:ascii="Calibri" w:hAnsi="Calibri" w:cs="Calibri"/>
      <w:lang w:val="en-BE" w:eastAsia="en-BE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ED277B"/>
    <w:pPr>
      <w:spacing w:line="300" w:lineRule="auto"/>
      <w:outlineLvl w:val="2"/>
    </w:pPr>
    <w:rPr>
      <w:rFonts w:ascii="Helvetica" w:hAnsi="Helvetica" w:cs="Helvetica"/>
      <w:b/>
      <w:bCs/>
      <w:color w:val="606060"/>
      <w:spacing w:val="-8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ED277B"/>
    <w:rPr>
      <w:rFonts w:ascii="Helvetica" w:hAnsi="Helvetica" w:cs="Helvetica"/>
      <w:b/>
      <w:bCs/>
      <w:color w:val="606060"/>
      <w:spacing w:val="-8"/>
      <w:sz w:val="27"/>
      <w:szCs w:val="27"/>
      <w:lang w:val="en-BE" w:eastAsia="en-BE"/>
    </w:rPr>
  </w:style>
  <w:style w:type="character" w:styleId="Strong">
    <w:name w:val="Strong"/>
    <w:basedOn w:val="DefaultParagraphFont"/>
    <w:uiPriority w:val="22"/>
    <w:qFormat/>
    <w:rsid w:val="00ED277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D277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D27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29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ra.us8.list-manage.com/track/click?u=e6e6edab27aee286b10f651f9&amp;id=e20e196fb6&amp;e=b881071455" TargetMode="External"/><Relationship Id="rId13" Type="http://schemas.openxmlformats.org/officeDocument/2006/relationships/hyperlink" Target="https://sbra.us8.list-manage.com/track/click?u=e6e6edab27aee286b10f651f9&amp;id=01a46e22f9&amp;e=b881071455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hyperlink" Target="https://sbra.us8.list-manage.com/track/click?u=e6e6edab27aee286b10f651f9&amp;id=ffab0d4400&amp;e=b881071455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sbra.us8.list-manage.com/track/click?u=e6e6edab27aee286b10f651f9&amp;id=5a8bfc23bf&amp;e=b881071455" TargetMode="External"/><Relationship Id="rId17" Type="http://schemas.openxmlformats.org/officeDocument/2006/relationships/hyperlink" Target="https://sbra.us8.list-manage.com/track/click?u=e6e6edab27aee286b10f651f9&amp;id=a4bfec835c&amp;e=b881071455" TargetMode="External"/><Relationship Id="rId25" Type="http://schemas.openxmlformats.org/officeDocument/2006/relationships/hyperlink" Target="https://sbra.us8.list-manage.com/track/click?u=e6e6edab27aee286b10f651f9&amp;id=ffa4733398&amp;e=b881071455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bra.us8.list-manage.com/track/click?u=e6e6edab27aee286b10f651f9&amp;id=6f26c9aa73&amp;e=b881071455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0.png"/><Relationship Id="rId5" Type="http://schemas.openxmlformats.org/officeDocument/2006/relationships/image" Target="media/image2.png"/><Relationship Id="rId15" Type="http://schemas.openxmlformats.org/officeDocument/2006/relationships/hyperlink" Target="https://sbra.us8.list-manage.com/track/click?u=e6e6edab27aee286b10f651f9&amp;id=afd9f80df7&amp;e=b881071455" TargetMode="External"/><Relationship Id="rId23" Type="http://schemas.openxmlformats.org/officeDocument/2006/relationships/hyperlink" Target="https://sbra.us8.list-manage.com/track/click?u=e6e6edab27aee286b10f651f9&amp;id=2c05738484&amp;e=b881071455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bra.us8.list-manage.com/track/click?u=e6e6edab27aee286b10f651f9&amp;id=c80af1fa06&amp;e=b881071455" TargetMode="External"/><Relationship Id="rId19" Type="http://schemas.openxmlformats.org/officeDocument/2006/relationships/hyperlink" Target="https://sbra.us8.list-manage.com/track/click?u=e6e6edab27aee286b10f651f9&amp;id=22480754b5&amp;e=b881071455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6.png"/><Relationship Id="rId22" Type="http://schemas.openxmlformats.org/officeDocument/2006/relationships/hyperlink" Target="https://sbra.us8.list-manage.com/track/click?u=e6e6edab27aee286b10f651f9&amp;id=d66a40c172&amp;e=b881071455" TargetMode="External"/><Relationship Id="rId27" Type="http://schemas.openxmlformats.org/officeDocument/2006/relationships/hyperlink" Target="https://sbra.us8.list-manage.com/track/click?u=e6e6edab27aee286b10f651f9&amp;id=c4b255377d&amp;e=b8810714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765</Words>
  <Characters>4362</Characters>
  <Application>Microsoft Office Word</Application>
  <DocSecurity>0</DocSecurity>
  <Lines>36</Lines>
  <Paragraphs>10</Paragraphs>
  <ScaleCrop>false</ScaleCrop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Bostjan Sinkovec</dc:creator>
  <cp:keywords/>
  <dc:description/>
  <cp:lastModifiedBy>Bostjan Sinkovec</cp:lastModifiedBy>
  <cp:revision>1</cp:revision>
  <dcterms:created xsi:type="dcterms:W3CDTF">2021-04-16T12:02:00Z</dcterms:created>
  <dcterms:modified xsi:type="dcterms:W3CDTF">2021-04-16T12:03:00Z</dcterms:modified>
</cp:coreProperties>
</file>