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5E55" w14:textId="77777777" w:rsidR="008A3627" w:rsidRPr="00CE3FCF" w:rsidRDefault="008A3627" w:rsidP="008A3627">
      <w:pPr>
        <w:jc w:val="both"/>
        <w:rPr>
          <w:rFonts w:ascii="Arial" w:hAnsi="Arial"/>
          <w:b/>
          <w:bCs/>
          <w:sz w:val="20"/>
          <w:szCs w:val="20"/>
        </w:rPr>
      </w:pPr>
      <w:r w:rsidRPr="00CE3FCF">
        <w:rPr>
          <w:rFonts w:ascii="Arial" w:hAnsi="Arial"/>
          <w:b/>
          <w:bCs/>
          <w:sz w:val="20"/>
          <w:szCs w:val="20"/>
        </w:rPr>
        <w:t>Izkušnje s sporazumi za doseganje trajnostnih ciljev v agroživilskih dobavnih verigah</w:t>
      </w:r>
    </w:p>
    <w:p w14:paraId="7D37B4EC" w14:textId="77777777" w:rsidR="008A3627" w:rsidRPr="00056171" w:rsidRDefault="008A3627" w:rsidP="008A3627">
      <w:pPr>
        <w:jc w:val="both"/>
        <w:rPr>
          <w:rFonts w:ascii="Arial" w:hAnsi="Arial"/>
          <w:sz w:val="20"/>
          <w:szCs w:val="20"/>
        </w:rPr>
      </w:pPr>
    </w:p>
    <w:p w14:paraId="5D24BDF7" w14:textId="77777777" w:rsidR="008A3627" w:rsidRPr="00056171" w:rsidRDefault="008A3627" w:rsidP="008A3627">
      <w:pPr>
        <w:jc w:val="both"/>
        <w:rPr>
          <w:rFonts w:ascii="Arial" w:hAnsi="Arial"/>
          <w:sz w:val="20"/>
          <w:szCs w:val="20"/>
        </w:rPr>
      </w:pPr>
      <w:r w:rsidRPr="00056171">
        <w:rPr>
          <w:rFonts w:ascii="Arial" w:hAnsi="Arial"/>
          <w:sz w:val="20"/>
          <w:szCs w:val="20"/>
        </w:rPr>
        <w:t xml:space="preserve">Evropska komisija prek posvetovanja vabi deležnike, kot so primarni proizvajalci, predelovalci, trgovci na debelo in drobno ter dobavitelj vhodnih surovin, da ji do 23. maja predstavijo izkušnje s sporazumi, ki so namenjeni doseganju trajnostnih ciljev v agroživilskih dobavnih verigah. Upoštevati jih namerava pri pripravi smernic o novem odstopanju, na podlagi katerega so sporazumi o </w:t>
      </w:r>
      <w:proofErr w:type="spellStart"/>
      <w:r w:rsidRPr="00056171">
        <w:rPr>
          <w:rFonts w:ascii="Arial" w:hAnsi="Arial"/>
          <w:sz w:val="20"/>
          <w:szCs w:val="20"/>
        </w:rPr>
        <w:t>trajnostnosti</w:t>
      </w:r>
      <w:proofErr w:type="spellEnd"/>
      <w:r w:rsidRPr="00056171">
        <w:rPr>
          <w:rFonts w:ascii="Arial" w:hAnsi="Arial"/>
          <w:sz w:val="20"/>
          <w:szCs w:val="20"/>
        </w:rPr>
        <w:t xml:space="preserve"> v kmetijstvu pod določenimi pogoji izvzeti iz pravil o konkurenci.</w:t>
      </w:r>
    </w:p>
    <w:p w14:paraId="65988CDD" w14:textId="77777777" w:rsidR="008A3627" w:rsidRPr="00056171" w:rsidRDefault="008A3627" w:rsidP="008A3627">
      <w:pPr>
        <w:jc w:val="both"/>
        <w:rPr>
          <w:rFonts w:ascii="Arial" w:hAnsi="Arial"/>
          <w:sz w:val="20"/>
          <w:szCs w:val="20"/>
        </w:rPr>
      </w:pPr>
    </w:p>
    <w:p w14:paraId="2860D5D9" w14:textId="77777777" w:rsidR="008A3627" w:rsidRPr="00056171" w:rsidRDefault="008A3627" w:rsidP="008A3627">
      <w:pPr>
        <w:jc w:val="both"/>
        <w:rPr>
          <w:rFonts w:ascii="Arial" w:hAnsi="Arial"/>
          <w:sz w:val="20"/>
          <w:szCs w:val="20"/>
        </w:rPr>
      </w:pPr>
      <w:r w:rsidRPr="00056171">
        <w:rPr>
          <w:rFonts w:ascii="Arial" w:hAnsi="Arial"/>
          <w:sz w:val="20"/>
          <w:szCs w:val="20"/>
        </w:rPr>
        <w:t>Več:</w:t>
      </w:r>
    </w:p>
    <w:p w14:paraId="25F8BE53" w14:textId="7C02F444" w:rsidR="008A3627" w:rsidRDefault="008A3627" w:rsidP="008A3627">
      <w:pPr>
        <w:jc w:val="both"/>
        <w:rPr>
          <w:rStyle w:val="Hyperlink"/>
          <w:rFonts w:ascii="Arial" w:hAnsi="Arial"/>
          <w:sz w:val="20"/>
          <w:szCs w:val="20"/>
        </w:rPr>
      </w:pPr>
      <w:hyperlink r:id="rId6" w:history="1">
        <w:r w:rsidRPr="00056171">
          <w:rPr>
            <w:rStyle w:val="Hyperlink"/>
            <w:rFonts w:ascii="Arial" w:hAnsi="Arial"/>
            <w:sz w:val="20"/>
            <w:szCs w:val="20"/>
          </w:rPr>
          <w:t>Spletna stran posvetovanja</w:t>
        </w:r>
      </w:hyperlink>
    </w:p>
    <w:p w14:paraId="1861D06A" w14:textId="7B8521C9" w:rsidR="008A3627" w:rsidRDefault="008A3627" w:rsidP="008A3627">
      <w:pPr>
        <w:jc w:val="both"/>
        <w:rPr>
          <w:rStyle w:val="Hyperlink"/>
          <w:rFonts w:ascii="Arial" w:hAnsi="Arial"/>
          <w:sz w:val="20"/>
          <w:szCs w:val="20"/>
        </w:rPr>
      </w:pPr>
    </w:p>
    <w:p w14:paraId="7223E4BF" w14:textId="77777777" w:rsidR="00A57B4E" w:rsidRDefault="00A57B4E" w:rsidP="00A57B4E">
      <w:pPr>
        <w:jc w:val="both"/>
        <w:rPr>
          <w:rFonts w:ascii="Arial" w:hAnsi="Arial"/>
          <w:sz w:val="20"/>
          <w:szCs w:val="20"/>
        </w:rPr>
      </w:pPr>
    </w:p>
    <w:p w14:paraId="624B54A7" w14:textId="4FFB2E16" w:rsidR="00A57B4E" w:rsidRPr="00CE3FCF" w:rsidRDefault="00A57B4E" w:rsidP="00A57B4E">
      <w:pPr>
        <w:jc w:val="both"/>
        <w:rPr>
          <w:rFonts w:ascii="Arial" w:hAnsi="Arial"/>
          <w:b/>
          <w:bCs/>
          <w:sz w:val="20"/>
          <w:szCs w:val="20"/>
        </w:rPr>
      </w:pPr>
      <w:r w:rsidRPr="00CE3FCF">
        <w:rPr>
          <w:rFonts w:ascii="Arial" w:hAnsi="Arial"/>
          <w:b/>
          <w:bCs/>
          <w:sz w:val="20"/>
          <w:szCs w:val="20"/>
        </w:rPr>
        <w:t>Odprt je razpis za nagrado EU za inovatorke</w:t>
      </w:r>
    </w:p>
    <w:p w14:paraId="7EFB681A" w14:textId="77777777" w:rsidR="00A57B4E" w:rsidRPr="00A67B4E" w:rsidRDefault="00A57B4E" w:rsidP="00A57B4E">
      <w:pPr>
        <w:jc w:val="both"/>
        <w:rPr>
          <w:rFonts w:ascii="Arial" w:hAnsi="Arial"/>
          <w:sz w:val="20"/>
          <w:szCs w:val="20"/>
        </w:rPr>
      </w:pPr>
    </w:p>
    <w:p w14:paraId="0DD59AB2" w14:textId="77777777" w:rsidR="00A57B4E" w:rsidRPr="00A67B4E" w:rsidRDefault="00A57B4E" w:rsidP="00A57B4E">
      <w:pPr>
        <w:jc w:val="both"/>
        <w:rPr>
          <w:rFonts w:ascii="Arial" w:hAnsi="Arial"/>
          <w:sz w:val="20"/>
          <w:szCs w:val="20"/>
        </w:rPr>
      </w:pPr>
      <w:r w:rsidRPr="00A67B4E">
        <w:rPr>
          <w:rFonts w:ascii="Arial" w:hAnsi="Arial"/>
          <w:sz w:val="20"/>
          <w:szCs w:val="20"/>
        </w:rPr>
        <w:t>Evropski raziskovalni svet (EIC) je objavil razpis za nagrade EU za inovatorke. Trem najbolj navdihujočim inovatorkam bo podelil nagrade v višini 100.000 evrov, trem najobetavnejšim »nadobudnim inovatorkam«, ki so mlajše od 35 let, pa nagrade v višini 50.000 evrov. Prijave je treba poslati do 18. avgusta. Člani lahko dobijo več informacij na SBRA.</w:t>
      </w:r>
    </w:p>
    <w:p w14:paraId="569C4BD8" w14:textId="77777777" w:rsidR="00A57B4E" w:rsidRPr="00A67B4E" w:rsidRDefault="00A57B4E" w:rsidP="00A57B4E">
      <w:pPr>
        <w:jc w:val="both"/>
        <w:rPr>
          <w:rFonts w:ascii="Arial" w:hAnsi="Arial"/>
          <w:sz w:val="20"/>
          <w:szCs w:val="20"/>
        </w:rPr>
      </w:pPr>
    </w:p>
    <w:p w14:paraId="45168B9D" w14:textId="77777777" w:rsidR="00A57B4E" w:rsidRPr="00A67B4E" w:rsidRDefault="00A57B4E" w:rsidP="00A57B4E">
      <w:pPr>
        <w:jc w:val="both"/>
        <w:rPr>
          <w:rFonts w:ascii="Arial" w:hAnsi="Arial"/>
          <w:sz w:val="20"/>
          <w:szCs w:val="20"/>
        </w:rPr>
      </w:pPr>
      <w:r w:rsidRPr="00A67B4E">
        <w:rPr>
          <w:rFonts w:ascii="Arial" w:hAnsi="Arial"/>
          <w:sz w:val="20"/>
          <w:szCs w:val="20"/>
        </w:rPr>
        <w:t>Več:</w:t>
      </w:r>
    </w:p>
    <w:p w14:paraId="0CF6E054" w14:textId="50980038" w:rsidR="00A57B4E" w:rsidRDefault="00A57B4E" w:rsidP="00A57B4E">
      <w:pPr>
        <w:jc w:val="both"/>
        <w:rPr>
          <w:rStyle w:val="Hyperlink"/>
          <w:rFonts w:ascii="Arial" w:hAnsi="Arial"/>
          <w:sz w:val="20"/>
          <w:szCs w:val="20"/>
        </w:rPr>
      </w:pPr>
      <w:hyperlink r:id="rId7" w:history="1">
        <w:r w:rsidRPr="00A67B4E">
          <w:rPr>
            <w:rStyle w:val="Hyperlink"/>
            <w:rFonts w:ascii="Arial" w:hAnsi="Arial"/>
            <w:sz w:val="20"/>
            <w:szCs w:val="20"/>
          </w:rPr>
          <w:t>Razpis</w:t>
        </w:r>
      </w:hyperlink>
    </w:p>
    <w:p w14:paraId="724D411A" w14:textId="18C77DB4" w:rsidR="00E210AE" w:rsidRDefault="00E210AE" w:rsidP="00A57B4E">
      <w:pPr>
        <w:jc w:val="both"/>
        <w:rPr>
          <w:rStyle w:val="Hyperlink"/>
          <w:rFonts w:ascii="Arial" w:hAnsi="Arial"/>
          <w:sz w:val="20"/>
          <w:szCs w:val="20"/>
        </w:rPr>
      </w:pPr>
    </w:p>
    <w:p w14:paraId="5FA4424C" w14:textId="77777777" w:rsidR="00E210AE" w:rsidRPr="00CE3FCF" w:rsidRDefault="00E210AE" w:rsidP="00E210AE">
      <w:pPr>
        <w:jc w:val="both"/>
        <w:rPr>
          <w:rFonts w:ascii="Arial" w:hAnsi="Arial"/>
          <w:b/>
          <w:bCs/>
          <w:sz w:val="20"/>
          <w:szCs w:val="20"/>
        </w:rPr>
      </w:pPr>
      <w:r w:rsidRPr="00CE3FCF">
        <w:rPr>
          <w:rFonts w:ascii="Arial" w:hAnsi="Arial"/>
          <w:b/>
          <w:bCs/>
          <w:sz w:val="20"/>
          <w:szCs w:val="20"/>
        </w:rPr>
        <w:t>Objavljen je dokument z razlogi, zakaj se splača vlagati v vajeništvo</w:t>
      </w:r>
    </w:p>
    <w:p w14:paraId="3B90355A" w14:textId="77777777" w:rsidR="00E210AE" w:rsidRPr="00A67B4E" w:rsidRDefault="00E210AE" w:rsidP="00E210AE">
      <w:pPr>
        <w:jc w:val="both"/>
        <w:rPr>
          <w:rFonts w:ascii="Arial" w:hAnsi="Arial"/>
          <w:sz w:val="20"/>
          <w:szCs w:val="20"/>
        </w:rPr>
      </w:pPr>
    </w:p>
    <w:p w14:paraId="265B8C12" w14:textId="77777777" w:rsidR="00E210AE" w:rsidRPr="00A67B4E" w:rsidRDefault="00E210AE" w:rsidP="00E210AE">
      <w:pPr>
        <w:jc w:val="both"/>
        <w:rPr>
          <w:rFonts w:ascii="Arial" w:hAnsi="Arial"/>
          <w:sz w:val="20"/>
          <w:szCs w:val="20"/>
        </w:rPr>
      </w:pPr>
      <w:r w:rsidRPr="00A67B4E">
        <w:rPr>
          <w:rFonts w:ascii="Arial" w:hAnsi="Arial"/>
          <w:sz w:val="20"/>
          <w:szCs w:val="20"/>
        </w:rPr>
        <w:t>Evropska zveza za vajeništvo (</w:t>
      </w:r>
      <w:proofErr w:type="spellStart"/>
      <w:r w:rsidRPr="00A67B4E">
        <w:rPr>
          <w:rFonts w:ascii="Arial" w:hAnsi="Arial"/>
          <w:sz w:val="20"/>
          <w:szCs w:val="20"/>
        </w:rPr>
        <w:t>EAfA</w:t>
      </w:r>
      <w:proofErr w:type="spellEnd"/>
      <w:r w:rsidRPr="00A67B4E">
        <w:rPr>
          <w:rFonts w:ascii="Arial" w:hAnsi="Arial"/>
          <w:sz w:val="20"/>
          <w:szCs w:val="20"/>
        </w:rPr>
        <w:t xml:space="preserve">) je objavila dokument z naslovom »10 dobrih razlogov za mala in srednje velika podjetja, da vlagajo v vajeništvo«. Med koristmi so: boljše ohranjanje zaposlenih, uvajanje novih idej in pogledov, izboljšanje inovacijske sposobnosti podjetja. </w:t>
      </w:r>
      <w:proofErr w:type="spellStart"/>
      <w:r w:rsidRPr="00A67B4E">
        <w:rPr>
          <w:rFonts w:ascii="Arial" w:hAnsi="Arial"/>
          <w:sz w:val="20"/>
          <w:szCs w:val="20"/>
        </w:rPr>
        <w:t>EAfA</w:t>
      </w:r>
      <w:proofErr w:type="spellEnd"/>
      <w:r w:rsidRPr="00A67B4E">
        <w:rPr>
          <w:rFonts w:ascii="Arial" w:hAnsi="Arial"/>
          <w:sz w:val="20"/>
          <w:szCs w:val="20"/>
        </w:rPr>
        <w:t xml:space="preserve"> želi s tem dokumentom malim in srednje velikim podjetjem tudi pokazati, da lahko prejmejo pomoč in podporo, da bo postopek zaposlovanja vajencev čim lažji.</w:t>
      </w:r>
    </w:p>
    <w:p w14:paraId="2119683B" w14:textId="77777777" w:rsidR="00E210AE" w:rsidRPr="00A67B4E" w:rsidRDefault="00E210AE" w:rsidP="00E210AE">
      <w:pPr>
        <w:jc w:val="both"/>
        <w:rPr>
          <w:rFonts w:ascii="Arial" w:hAnsi="Arial"/>
          <w:sz w:val="20"/>
          <w:szCs w:val="20"/>
        </w:rPr>
      </w:pPr>
    </w:p>
    <w:p w14:paraId="66C0632B" w14:textId="77777777" w:rsidR="00E210AE" w:rsidRPr="00A67B4E" w:rsidRDefault="00E210AE" w:rsidP="00E210AE">
      <w:pPr>
        <w:jc w:val="both"/>
        <w:rPr>
          <w:rFonts w:ascii="Arial" w:hAnsi="Arial"/>
          <w:sz w:val="20"/>
          <w:szCs w:val="20"/>
        </w:rPr>
      </w:pPr>
      <w:r w:rsidRPr="00A67B4E">
        <w:rPr>
          <w:rFonts w:ascii="Arial" w:hAnsi="Arial"/>
          <w:sz w:val="20"/>
          <w:szCs w:val="20"/>
        </w:rPr>
        <w:t>Več:</w:t>
      </w:r>
    </w:p>
    <w:p w14:paraId="7DA94A40" w14:textId="77777777" w:rsidR="00E210AE" w:rsidRPr="00A67B4E" w:rsidRDefault="00E210AE" w:rsidP="00E210AE">
      <w:pPr>
        <w:jc w:val="both"/>
        <w:rPr>
          <w:rFonts w:ascii="Arial" w:hAnsi="Arial"/>
          <w:sz w:val="20"/>
          <w:szCs w:val="20"/>
        </w:rPr>
      </w:pPr>
      <w:hyperlink r:id="rId8" w:history="1">
        <w:r w:rsidRPr="00A67B4E">
          <w:rPr>
            <w:rStyle w:val="Hyperlink"/>
            <w:rFonts w:ascii="Arial" w:hAnsi="Arial"/>
            <w:sz w:val="20"/>
            <w:szCs w:val="20"/>
          </w:rPr>
          <w:t>Sporočilo s povezavo na dokument</w:t>
        </w:r>
      </w:hyperlink>
    </w:p>
    <w:p w14:paraId="382E3496" w14:textId="52D6568B" w:rsidR="00E210AE" w:rsidRDefault="00E210AE" w:rsidP="00A57B4E">
      <w:pPr>
        <w:jc w:val="both"/>
        <w:rPr>
          <w:rFonts w:ascii="Arial" w:hAnsi="Arial"/>
          <w:sz w:val="20"/>
          <w:szCs w:val="20"/>
        </w:rPr>
      </w:pPr>
    </w:p>
    <w:p w14:paraId="08421465" w14:textId="77777777" w:rsidR="00D70E11" w:rsidRDefault="00D70E11" w:rsidP="00D70E11">
      <w:pPr>
        <w:jc w:val="both"/>
        <w:rPr>
          <w:rFonts w:ascii="Arial" w:hAnsi="Arial"/>
          <w:sz w:val="20"/>
          <w:szCs w:val="20"/>
        </w:rPr>
      </w:pPr>
    </w:p>
    <w:p w14:paraId="47CD1CAD" w14:textId="39338355" w:rsidR="00D70E11" w:rsidRPr="00CE3FCF" w:rsidRDefault="00D70E11" w:rsidP="00D70E11">
      <w:pPr>
        <w:jc w:val="both"/>
        <w:rPr>
          <w:rFonts w:ascii="Arial" w:hAnsi="Arial"/>
          <w:b/>
          <w:bCs/>
          <w:sz w:val="20"/>
          <w:szCs w:val="20"/>
        </w:rPr>
      </w:pPr>
      <w:r w:rsidRPr="00CE3FCF">
        <w:rPr>
          <w:rFonts w:ascii="Arial" w:hAnsi="Arial"/>
          <w:b/>
          <w:bCs/>
          <w:sz w:val="20"/>
          <w:szCs w:val="20"/>
        </w:rPr>
        <w:t xml:space="preserve">Anketa o ovirah pri pridobivanju evropskih sredstev za </w:t>
      </w:r>
      <w:proofErr w:type="spellStart"/>
      <w:r w:rsidRPr="00CE3FCF">
        <w:rPr>
          <w:rFonts w:ascii="Arial" w:hAnsi="Arial"/>
          <w:b/>
          <w:bCs/>
          <w:sz w:val="20"/>
          <w:szCs w:val="20"/>
        </w:rPr>
        <w:t>okoljske</w:t>
      </w:r>
      <w:proofErr w:type="spellEnd"/>
      <w:r w:rsidRPr="00CE3FCF">
        <w:rPr>
          <w:rFonts w:ascii="Arial" w:hAnsi="Arial"/>
          <w:b/>
          <w:bCs/>
          <w:sz w:val="20"/>
          <w:szCs w:val="20"/>
        </w:rPr>
        <w:t xml:space="preserve"> projekte</w:t>
      </w:r>
    </w:p>
    <w:p w14:paraId="22D1F888" w14:textId="77777777" w:rsidR="00D70E11" w:rsidRPr="00A67B4E" w:rsidRDefault="00D70E11" w:rsidP="00D70E11">
      <w:pPr>
        <w:jc w:val="both"/>
        <w:rPr>
          <w:rFonts w:ascii="Arial" w:hAnsi="Arial"/>
          <w:sz w:val="20"/>
          <w:szCs w:val="20"/>
        </w:rPr>
      </w:pPr>
    </w:p>
    <w:p w14:paraId="6C385185" w14:textId="77777777" w:rsidR="00D70E11" w:rsidRPr="00A67B4E" w:rsidRDefault="00D70E11" w:rsidP="00D70E11">
      <w:pPr>
        <w:jc w:val="both"/>
        <w:rPr>
          <w:rFonts w:ascii="Arial" w:hAnsi="Arial"/>
          <w:sz w:val="20"/>
          <w:szCs w:val="20"/>
        </w:rPr>
      </w:pPr>
      <w:r w:rsidRPr="00A67B4E">
        <w:rPr>
          <w:rFonts w:ascii="Arial" w:hAnsi="Arial"/>
          <w:sz w:val="20"/>
          <w:szCs w:val="20"/>
        </w:rPr>
        <w:t xml:space="preserve">Evropska komisija prek ankete zbira informacije o težavah pri pridobivanju evropskih sredstev za </w:t>
      </w:r>
      <w:proofErr w:type="spellStart"/>
      <w:r w:rsidRPr="00A67B4E">
        <w:rPr>
          <w:rFonts w:ascii="Arial" w:hAnsi="Arial"/>
          <w:sz w:val="20"/>
          <w:szCs w:val="20"/>
        </w:rPr>
        <w:t>okoljske</w:t>
      </w:r>
      <w:proofErr w:type="spellEnd"/>
      <w:r w:rsidRPr="00A67B4E">
        <w:rPr>
          <w:rFonts w:ascii="Arial" w:hAnsi="Arial"/>
          <w:sz w:val="20"/>
          <w:szCs w:val="20"/>
        </w:rPr>
        <w:t xml:space="preserve"> projekte. Uporabila jih bo za pripravo brošure o financiranju </w:t>
      </w:r>
      <w:proofErr w:type="spellStart"/>
      <w:r w:rsidRPr="00A67B4E">
        <w:rPr>
          <w:rFonts w:ascii="Arial" w:hAnsi="Arial"/>
          <w:sz w:val="20"/>
          <w:szCs w:val="20"/>
        </w:rPr>
        <w:t>okoljskih</w:t>
      </w:r>
      <w:proofErr w:type="spellEnd"/>
      <w:r w:rsidRPr="00A67B4E">
        <w:rPr>
          <w:rFonts w:ascii="Arial" w:hAnsi="Arial"/>
          <w:sz w:val="20"/>
          <w:szCs w:val="20"/>
        </w:rPr>
        <w:t xml:space="preserve"> ukrepov v okviru večletnega finančnega okvira za obdobje 2021-2027.</w:t>
      </w:r>
    </w:p>
    <w:p w14:paraId="479C4C88" w14:textId="77777777" w:rsidR="00D70E11" w:rsidRPr="00A67B4E" w:rsidRDefault="00D70E11" w:rsidP="00D70E11">
      <w:pPr>
        <w:jc w:val="both"/>
        <w:rPr>
          <w:rFonts w:ascii="Arial" w:hAnsi="Arial"/>
          <w:sz w:val="20"/>
          <w:szCs w:val="20"/>
        </w:rPr>
      </w:pPr>
    </w:p>
    <w:p w14:paraId="5230E8ED" w14:textId="77777777" w:rsidR="00D70E11" w:rsidRPr="00A67B4E" w:rsidRDefault="00D70E11" w:rsidP="00D70E11">
      <w:pPr>
        <w:jc w:val="both"/>
        <w:rPr>
          <w:rFonts w:ascii="Arial" w:hAnsi="Arial"/>
          <w:sz w:val="20"/>
          <w:szCs w:val="20"/>
        </w:rPr>
      </w:pPr>
      <w:r w:rsidRPr="00A67B4E">
        <w:rPr>
          <w:rFonts w:ascii="Arial" w:hAnsi="Arial"/>
          <w:sz w:val="20"/>
          <w:szCs w:val="20"/>
        </w:rPr>
        <w:t>Več:</w:t>
      </w:r>
    </w:p>
    <w:p w14:paraId="3964BF0A" w14:textId="2E28FB39" w:rsidR="00D70E11" w:rsidRDefault="00D70E11" w:rsidP="00D70E11">
      <w:pPr>
        <w:jc w:val="both"/>
        <w:rPr>
          <w:rStyle w:val="Hyperlink"/>
          <w:rFonts w:ascii="Arial" w:hAnsi="Arial"/>
          <w:sz w:val="20"/>
          <w:szCs w:val="20"/>
        </w:rPr>
      </w:pPr>
      <w:hyperlink r:id="rId9" w:history="1">
        <w:r w:rsidRPr="00A67B4E">
          <w:rPr>
            <w:rStyle w:val="Hyperlink"/>
            <w:rFonts w:ascii="Arial" w:hAnsi="Arial"/>
            <w:sz w:val="20"/>
            <w:szCs w:val="20"/>
          </w:rPr>
          <w:t>Anketa</w:t>
        </w:r>
      </w:hyperlink>
    </w:p>
    <w:p w14:paraId="753A8E73" w14:textId="6277BC53" w:rsidR="00A3100F" w:rsidRDefault="00A3100F" w:rsidP="00D70E11">
      <w:pPr>
        <w:jc w:val="both"/>
        <w:rPr>
          <w:rStyle w:val="Hyperlink"/>
          <w:rFonts w:ascii="Arial" w:hAnsi="Arial"/>
          <w:sz w:val="20"/>
          <w:szCs w:val="20"/>
        </w:rPr>
      </w:pPr>
    </w:p>
    <w:p w14:paraId="2680A162" w14:textId="2FBBEF4A" w:rsidR="00A3100F" w:rsidRDefault="00A3100F" w:rsidP="00D70E11">
      <w:pPr>
        <w:jc w:val="both"/>
        <w:rPr>
          <w:rStyle w:val="Hyperlink"/>
          <w:rFonts w:ascii="Arial" w:hAnsi="Arial"/>
          <w:sz w:val="20"/>
          <w:szCs w:val="20"/>
        </w:rPr>
      </w:pPr>
    </w:p>
    <w:p w14:paraId="09883863" w14:textId="77777777" w:rsidR="00A3100F" w:rsidRPr="00CE3FCF" w:rsidRDefault="00A3100F" w:rsidP="00A3100F">
      <w:pPr>
        <w:jc w:val="both"/>
        <w:rPr>
          <w:rFonts w:ascii="Arial" w:hAnsi="Arial"/>
          <w:b/>
          <w:bCs/>
          <w:sz w:val="20"/>
          <w:szCs w:val="20"/>
        </w:rPr>
      </w:pPr>
      <w:r w:rsidRPr="00CE3FCF">
        <w:rPr>
          <w:rFonts w:ascii="Arial" w:hAnsi="Arial"/>
          <w:b/>
          <w:bCs/>
          <w:sz w:val="20"/>
          <w:szCs w:val="20"/>
        </w:rPr>
        <w:t>Objavljena sta nova razpisa za uresničitev načrta za preprečevanje raka</w:t>
      </w:r>
    </w:p>
    <w:p w14:paraId="49E7D527" w14:textId="77777777" w:rsidR="00A3100F" w:rsidRPr="00702F75" w:rsidRDefault="00A3100F" w:rsidP="00A3100F">
      <w:pPr>
        <w:jc w:val="both"/>
        <w:rPr>
          <w:rFonts w:ascii="Arial" w:hAnsi="Arial"/>
          <w:sz w:val="20"/>
          <w:szCs w:val="20"/>
        </w:rPr>
      </w:pPr>
    </w:p>
    <w:p w14:paraId="57D7B6AF" w14:textId="4F1AAB23" w:rsidR="00A3100F" w:rsidRDefault="00A3100F" w:rsidP="00A3100F">
      <w:pPr>
        <w:jc w:val="both"/>
        <w:rPr>
          <w:rFonts w:ascii="Arial" w:hAnsi="Arial"/>
          <w:sz w:val="20"/>
          <w:szCs w:val="20"/>
        </w:rPr>
      </w:pPr>
      <w:r w:rsidRPr="00702F75">
        <w:rPr>
          <w:rFonts w:ascii="Arial" w:hAnsi="Arial"/>
          <w:sz w:val="20"/>
          <w:szCs w:val="20"/>
        </w:rPr>
        <w:t>Evropska komisija je na podlagi načrta za premagovanje raka objavila nova razpisa za zbiranje predlogov projektov. Naloga izbranega ponudnika  na podlagi prvega razpisa bo zasnovati, razviti, preizkusiti in zagotoviti mobilno aplikacijo EU za preprečevanje raka. Drugi razpis je namenjen izbiri izvajalca, ki bo zasnoval, razvil, preizkusil spletno informacijsko orodje v obliki prototipa različice pametne kartice. Rok za oddajo predlogov se izteče 29. aprila.</w:t>
      </w:r>
    </w:p>
    <w:p w14:paraId="4D242D70" w14:textId="77777777" w:rsidR="00A3100F" w:rsidRDefault="00A3100F" w:rsidP="00A3100F">
      <w:pPr>
        <w:jc w:val="both"/>
        <w:rPr>
          <w:rFonts w:ascii="Arial" w:hAnsi="Arial"/>
          <w:sz w:val="20"/>
          <w:szCs w:val="20"/>
        </w:rPr>
      </w:pPr>
    </w:p>
    <w:p w14:paraId="09DA7156" w14:textId="77777777" w:rsidR="00A3100F" w:rsidRPr="00702F75" w:rsidRDefault="00A3100F" w:rsidP="00A3100F">
      <w:pPr>
        <w:jc w:val="both"/>
        <w:rPr>
          <w:rFonts w:ascii="Arial" w:hAnsi="Arial"/>
          <w:sz w:val="20"/>
          <w:szCs w:val="20"/>
        </w:rPr>
      </w:pPr>
      <w:r w:rsidRPr="00702F75">
        <w:rPr>
          <w:rFonts w:ascii="Arial" w:hAnsi="Arial"/>
          <w:sz w:val="20"/>
          <w:szCs w:val="20"/>
        </w:rPr>
        <w:t>Več:</w:t>
      </w:r>
    </w:p>
    <w:p w14:paraId="1C3AAA17" w14:textId="77777777" w:rsidR="00A3100F" w:rsidRPr="00702F75" w:rsidRDefault="00A3100F" w:rsidP="00A3100F">
      <w:pPr>
        <w:jc w:val="both"/>
        <w:rPr>
          <w:rStyle w:val="Hyperlink"/>
          <w:rFonts w:ascii="Arial" w:hAnsi="Arial"/>
          <w:sz w:val="20"/>
          <w:szCs w:val="20"/>
        </w:rPr>
      </w:pPr>
      <w:r w:rsidRPr="00702F75">
        <w:rPr>
          <w:rFonts w:ascii="Arial" w:hAnsi="Arial"/>
          <w:sz w:val="20"/>
          <w:szCs w:val="20"/>
        </w:rPr>
        <w:fldChar w:fldCharType="begin"/>
      </w:r>
      <w:r w:rsidRPr="00702F75">
        <w:rPr>
          <w:rFonts w:ascii="Arial" w:hAnsi="Arial"/>
          <w:sz w:val="20"/>
          <w:szCs w:val="20"/>
        </w:rPr>
        <w:instrText xml:space="preserve"> HYPERLINK "https://hadea.ec.europa.eu/news/two-new-calls-tenders-support-eu-cancer-plan-2022-03-16_en" </w:instrText>
      </w:r>
      <w:r w:rsidRPr="00702F75">
        <w:rPr>
          <w:rFonts w:ascii="Arial" w:hAnsi="Arial"/>
          <w:sz w:val="20"/>
          <w:szCs w:val="20"/>
        </w:rPr>
        <w:fldChar w:fldCharType="separate"/>
      </w:r>
      <w:r w:rsidRPr="00702F75">
        <w:rPr>
          <w:rStyle w:val="Hyperlink"/>
          <w:rFonts w:ascii="Arial" w:hAnsi="Arial"/>
          <w:sz w:val="20"/>
          <w:szCs w:val="20"/>
        </w:rPr>
        <w:t>Informacija o razpisih s povezavama na razpisa</w:t>
      </w:r>
    </w:p>
    <w:p w14:paraId="1CE1CA0A" w14:textId="361664AC" w:rsidR="00A3100F" w:rsidRDefault="00A3100F" w:rsidP="00A3100F">
      <w:pPr>
        <w:jc w:val="both"/>
        <w:rPr>
          <w:rFonts w:ascii="Arial" w:hAnsi="Arial"/>
          <w:sz w:val="20"/>
          <w:szCs w:val="20"/>
        </w:rPr>
      </w:pPr>
      <w:r w:rsidRPr="00702F75">
        <w:rPr>
          <w:rFonts w:ascii="Arial" w:hAnsi="Arial"/>
          <w:sz w:val="20"/>
          <w:szCs w:val="20"/>
        </w:rPr>
        <w:fldChar w:fldCharType="end"/>
      </w:r>
    </w:p>
    <w:p w14:paraId="4B5756DB" w14:textId="77777777" w:rsidR="00CE3FCF" w:rsidRPr="00CE3FCF" w:rsidRDefault="00CE3FCF" w:rsidP="00CE3FCF">
      <w:pPr>
        <w:jc w:val="both"/>
        <w:rPr>
          <w:rFonts w:ascii="Arial" w:hAnsi="Arial"/>
          <w:b/>
          <w:bCs/>
          <w:sz w:val="20"/>
          <w:szCs w:val="20"/>
        </w:rPr>
      </w:pPr>
      <w:r w:rsidRPr="00CE3FCF">
        <w:rPr>
          <w:rFonts w:ascii="Arial" w:hAnsi="Arial"/>
          <w:b/>
          <w:bCs/>
          <w:sz w:val="20"/>
          <w:szCs w:val="20"/>
        </w:rPr>
        <w:t>Javno posvetovanje o omejevanju uporabe nevarnih snovi v električni in elektronski opremi</w:t>
      </w:r>
    </w:p>
    <w:p w14:paraId="70ABF948" w14:textId="77777777" w:rsidR="00CE3FCF" w:rsidRPr="00702F75" w:rsidRDefault="00CE3FCF" w:rsidP="00CE3FCF">
      <w:pPr>
        <w:jc w:val="both"/>
        <w:rPr>
          <w:rFonts w:ascii="Arial" w:hAnsi="Arial"/>
          <w:sz w:val="20"/>
          <w:szCs w:val="20"/>
        </w:rPr>
      </w:pPr>
    </w:p>
    <w:p w14:paraId="10872450" w14:textId="77777777" w:rsidR="00CE3FCF" w:rsidRPr="00702F75" w:rsidRDefault="00CE3FCF" w:rsidP="00CE3FCF">
      <w:pPr>
        <w:jc w:val="both"/>
        <w:rPr>
          <w:rFonts w:ascii="Arial" w:hAnsi="Arial"/>
          <w:sz w:val="20"/>
          <w:szCs w:val="20"/>
        </w:rPr>
      </w:pPr>
      <w:r w:rsidRPr="00702F75">
        <w:rPr>
          <w:rFonts w:ascii="Arial" w:hAnsi="Arial"/>
          <w:sz w:val="20"/>
          <w:szCs w:val="20"/>
        </w:rPr>
        <w:t xml:space="preserve">Evropska komisija prek javnega posvetovanja do 2. junija zbira mnenja in predloge o reviziji direktive o omejevanju uporabe nekaterih nevarnih snovi v električni in elektronski opremi. </w:t>
      </w:r>
    </w:p>
    <w:p w14:paraId="2B88CCEF" w14:textId="77777777" w:rsidR="00CE3FCF" w:rsidRPr="00702F75" w:rsidRDefault="00CE3FCF" w:rsidP="00CE3FCF">
      <w:pPr>
        <w:jc w:val="both"/>
        <w:rPr>
          <w:rFonts w:ascii="Arial" w:hAnsi="Arial"/>
          <w:sz w:val="20"/>
          <w:szCs w:val="20"/>
        </w:rPr>
      </w:pPr>
    </w:p>
    <w:p w14:paraId="3A2AA552" w14:textId="77777777" w:rsidR="00CE3FCF" w:rsidRPr="00702F75" w:rsidRDefault="00CE3FCF" w:rsidP="00CE3FCF">
      <w:pPr>
        <w:jc w:val="both"/>
        <w:rPr>
          <w:rFonts w:ascii="Arial" w:hAnsi="Arial"/>
          <w:sz w:val="20"/>
          <w:szCs w:val="20"/>
        </w:rPr>
      </w:pPr>
      <w:r w:rsidRPr="00702F75">
        <w:rPr>
          <w:rFonts w:ascii="Arial" w:hAnsi="Arial"/>
          <w:sz w:val="20"/>
          <w:szCs w:val="20"/>
        </w:rPr>
        <w:t>Več:</w:t>
      </w:r>
    </w:p>
    <w:p w14:paraId="111512FC" w14:textId="77777777" w:rsidR="00CE3FCF" w:rsidRPr="00702F75" w:rsidRDefault="00CE3FCF" w:rsidP="00CE3FCF">
      <w:pPr>
        <w:jc w:val="both"/>
        <w:rPr>
          <w:rStyle w:val="Hyperlink"/>
          <w:rFonts w:ascii="Arial" w:hAnsi="Arial"/>
          <w:sz w:val="20"/>
          <w:szCs w:val="20"/>
        </w:rPr>
      </w:pPr>
      <w:r w:rsidRPr="00702F75">
        <w:rPr>
          <w:rFonts w:ascii="Arial" w:hAnsi="Arial"/>
          <w:sz w:val="20"/>
          <w:szCs w:val="20"/>
        </w:rPr>
        <w:fldChar w:fldCharType="begin"/>
      </w:r>
      <w:r w:rsidRPr="00702F75">
        <w:rPr>
          <w:rFonts w:ascii="Arial" w:hAnsi="Arial"/>
          <w:sz w:val="20"/>
          <w:szCs w:val="20"/>
        </w:rPr>
        <w:instrText xml:space="preserve"> HYPERLINK "https://ec.europa.eu/info/law/better-regulation/have-your-say/initiatives/13137-Review-Restriction-of-the-use-of-hazardous-substances-in-electronics/public-consultation_sl" </w:instrText>
      </w:r>
      <w:r w:rsidRPr="00702F75">
        <w:rPr>
          <w:rFonts w:ascii="Arial" w:hAnsi="Arial"/>
          <w:sz w:val="20"/>
          <w:szCs w:val="20"/>
        </w:rPr>
        <w:fldChar w:fldCharType="separate"/>
      </w:r>
      <w:r w:rsidRPr="00702F75">
        <w:rPr>
          <w:rStyle w:val="Hyperlink"/>
          <w:rFonts w:ascii="Arial" w:hAnsi="Arial"/>
          <w:sz w:val="20"/>
          <w:szCs w:val="20"/>
        </w:rPr>
        <w:t>Spletna stran posvetovanja</w:t>
      </w:r>
      <w:r>
        <w:rPr>
          <w:rStyle w:val="Hyperlink"/>
          <w:rFonts w:ascii="Arial" w:hAnsi="Arial"/>
          <w:sz w:val="20"/>
          <w:szCs w:val="20"/>
        </w:rPr>
        <w:t xml:space="preserve"> </w:t>
      </w:r>
    </w:p>
    <w:p w14:paraId="0DDD5133" w14:textId="77777777" w:rsidR="00E7722A" w:rsidRDefault="00CE3FCF" w:rsidP="00E7722A">
      <w:pPr>
        <w:jc w:val="both"/>
        <w:rPr>
          <w:rFonts w:ascii="Arial" w:hAnsi="Arial"/>
          <w:sz w:val="20"/>
          <w:szCs w:val="20"/>
        </w:rPr>
      </w:pPr>
      <w:r w:rsidRPr="00702F75">
        <w:rPr>
          <w:rFonts w:ascii="Arial" w:hAnsi="Arial"/>
          <w:sz w:val="20"/>
          <w:szCs w:val="20"/>
        </w:rPr>
        <w:fldChar w:fldCharType="end"/>
      </w:r>
    </w:p>
    <w:p w14:paraId="2281E39C" w14:textId="4FFBE718" w:rsidR="00E7722A" w:rsidRPr="00E7722A" w:rsidRDefault="00E7722A" w:rsidP="00E7722A">
      <w:pPr>
        <w:jc w:val="both"/>
        <w:rPr>
          <w:rFonts w:ascii="Arial" w:hAnsi="Arial"/>
          <w:b/>
          <w:bCs/>
          <w:sz w:val="20"/>
          <w:szCs w:val="20"/>
        </w:rPr>
      </w:pPr>
      <w:r w:rsidRPr="00E7722A">
        <w:rPr>
          <w:rFonts w:ascii="Arial" w:hAnsi="Arial"/>
          <w:b/>
          <w:bCs/>
          <w:sz w:val="20"/>
          <w:szCs w:val="20"/>
        </w:rPr>
        <w:lastRenderedPageBreak/>
        <w:t>Sprejeti so sklepi o izvoznih kreditih</w:t>
      </w:r>
    </w:p>
    <w:p w14:paraId="6C05A4FF" w14:textId="77777777" w:rsidR="00E7722A" w:rsidRPr="00702F75" w:rsidRDefault="00E7722A" w:rsidP="00E7722A">
      <w:pPr>
        <w:jc w:val="both"/>
        <w:rPr>
          <w:rFonts w:ascii="Arial" w:hAnsi="Arial"/>
          <w:sz w:val="20"/>
          <w:szCs w:val="20"/>
        </w:rPr>
      </w:pPr>
    </w:p>
    <w:p w14:paraId="2F97B5DC" w14:textId="77777777" w:rsidR="00E7722A" w:rsidRPr="00702F75" w:rsidRDefault="00E7722A" w:rsidP="00E7722A">
      <w:pPr>
        <w:jc w:val="both"/>
        <w:rPr>
          <w:rFonts w:ascii="Arial" w:hAnsi="Arial"/>
          <w:sz w:val="20"/>
          <w:szCs w:val="20"/>
        </w:rPr>
      </w:pPr>
      <w:r w:rsidRPr="00702F75">
        <w:rPr>
          <w:rFonts w:ascii="Arial" w:hAnsi="Arial"/>
          <w:sz w:val="20"/>
          <w:szCs w:val="20"/>
        </w:rPr>
        <w:t>Članice EU so v okviru Sveta EU sprejele sklepe o izvoznih kreditih. Med drugim so izrazile podporo analizi možnosti okrepljenega usklajevanja in instrumenta EU za izvozne kredite, ki bi dopolnjeval nacionalne instrumente za izvozne kredite, razvojno pomoč in podporo naložbam, tako na nacionalni ravni kot na ravni EU, predvsem pa instrument za sosedstvo ter razvojno in mednarodno sodelovanje.</w:t>
      </w:r>
    </w:p>
    <w:p w14:paraId="6A289010" w14:textId="77777777" w:rsidR="00E7722A" w:rsidRPr="00702F75" w:rsidRDefault="00E7722A" w:rsidP="00E7722A">
      <w:pPr>
        <w:jc w:val="both"/>
        <w:rPr>
          <w:rFonts w:ascii="Arial" w:hAnsi="Arial"/>
          <w:sz w:val="20"/>
          <w:szCs w:val="20"/>
        </w:rPr>
      </w:pPr>
    </w:p>
    <w:p w14:paraId="312B992B" w14:textId="77777777" w:rsidR="00E7722A" w:rsidRPr="00702F75" w:rsidRDefault="00E7722A" w:rsidP="00E7722A">
      <w:pPr>
        <w:jc w:val="both"/>
        <w:rPr>
          <w:rFonts w:ascii="Arial" w:hAnsi="Arial"/>
          <w:sz w:val="20"/>
          <w:szCs w:val="20"/>
        </w:rPr>
      </w:pPr>
      <w:r w:rsidRPr="00702F75">
        <w:rPr>
          <w:rFonts w:ascii="Arial" w:hAnsi="Arial"/>
          <w:sz w:val="20"/>
          <w:szCs w:val="20"/>
        </w:rPr>
        <w:t>Več:</w:t>
      </w:r>
    </w:p>
    <w:p w14:paraId="709FDAEA" w14:textId="77777777" w:rsidR="00E7722A" w:rsidRPr="00702F75" w:rsidRDefault="00E7722A" w:rsidP="00E7722A">
      <w:pPr>
        <w:jc w:val="both"/>
        <w:rPr>
          <w:rFonts w:ascii="Arial" w:hAnsi="Arial"/>
          <w:sz w:val="20"/>
          <w:szCs w:val="20"/>
        </w:rPr>
      </w:pPr>
      <w:hyperlink r:id="rId10" w:history="1">
        <w:r w:rsidRPr="00702F75">
          <w:rPr>
            <w:rStyle w:val="Hyperlink"/>
            <w:rFonts w:ascii="Arial" w:hAnsi="Arial"/>
            <w:sz w:val="20"/>
            <w:szCs w:val="20"/>
          </w:rPr>
          <w:t>Sklepi</w:t>
        </w:r>
      </w:hyperlink>
    </w:p>
    <w:p w14:paraId="6192A7B2" w14:textId="1FB81CFB" w:rsidR="00CE3FCF" w:rsidRDefault="00CE3FCF" w:rsidP="00CE3FCF">
      <w:pPr>
        <w:jc w:val="both"/>
        <w:rPr>
          <w:rFonts w:ascii="Arial" w:hAnsi="Arial"/>
          <w:sz w:val="20"/>
          <w:szCs w:val="20"/>
        </w:rPr>
      </w:pPr>
    </w:p>
    <w:p w14:paraId="753C9695" w14:textId="3069C452" w:rsidR="00E7722A" w:rsidRDefault="00E7722A" w:rsidP="00CE3FCF">
      <w:pPr>
        <w:jc w:val="both"/>
        <w:rPr>
          <w:rFonts w:ascii="Arial" w:hAnsi="Arial"/>
          <w:sz w:val="20"/>
          <w:szCs w:val="20"/>
        </w:rPr>
      </w:pPr>
    </w:p>
    <w:p w14:paraId="554CC9FB" w14:textId="77777777" w:rsidR="005B7B95" w:rsidRPr="005B7B95" w:rsidRDefault="005B7B95" w:rsidP="005B7B95">
      <w:pPr>
        <w:jc w:val="both"/>
        <w:rPr>
          <w:rFonts w:ascii="Arial" w:hAnsi="Arial"/>
          <w:b/>
          <w:bCs/>
          <w:sz w:val="20"/>
          <w:szCs w:val="20"/>
        </w:rPr>
      </w:pPr>
      <w:r w:rsidRPr="005B7B95">
        <w:rPr>
          <w:rFonts w:ascii="Arial" w:hAnsi="Arial"/>
          <w:b/>
          <w:bCs/>
          <w:sz w:val="20"/>
          <w:szCs w:val="20"/>
        </w:rPr>
        <w:t>Organ ESMA je ugotovil pomanjkljivosti pri nadzoru čezmejnih investicijskih dejavnosti</w:t>
      </w:r>
    </w:p>
    <w:p w14:paraId="7DED9100" w14:textId="77777777" w:rsidR="005B7B95" w:rsidRPr="00702F75" w:rsidRDefault="005B7B95" w:rsidP="005B7B95">
      <w:pPr>
        <w:jc w:val="both"/>
        <w:rPr>
          <w:rFonts w:ascii="Arial" w:hAnsi="Arial"/>
          <w:sz w:val="20"/>
          <w:szCs w:val="20"/>
        </w:rPr>
      </w:pPr>
    </w:p>
    <w:p w14:paraId="1DE09FA5" w14:textId="77777777" w:rsidR="005B7B95" w:rsidRPr="00702F75" w:rsidRDefault="005B7B95" w:rsidP="005B7B95">
      <w:pPr>
        <w:jc w:val="both"/>
        <w:rPr>
          <w:rFonts w:ascii="Arial" w:hAnsi="Arial"/>
          <w:sz w:val="20"/>
          <w:szCs w:val="20"/>
        </w:rPr>
      </w:pPr>
      <w:r w:rsidRPr="00702F75">
        <w:rPr>
          <w:rFonts w:ascii="Arial" w:hAnsi="Arial"/>
          <w:sz w:val="20"/>
          <w:szCs w:val="20"/>
        </w:rPr>
        <w:t>Evropski organ za vrednostne papirje in trge (ESMA) v poročilu o pregledu nadzora nad čezmejnimi dejavnostmi investicijskih podjetij opozarja, da morajo nacionalni organi za vrednostne papirje bistveno izboljšati nadzor pri izdaji dovoljenj, ki se nanašajo na</w:t>
      </w:r>
    </w:p>
    <w:p w14:paraId="4D592D1F" w14:textId="77777777" w:rsidR="005B7B95" w:rsidRPr="00702F75" w:rsidRDefault="005B7B95" w:rsidP="005B7B95">
      <w:pPr>
        <w:jc w:val="both"/>
        <w:rPr>
          <w:rFonts w:ascii="Arial" w:hAnsi="Arial"/>
          <w:sz w:val="20"/>
          <w:szCs w:val="20"/>
        </w:rPr>
      </w:pPr>
      <w:r w:rsidRPr="00702F75">
        <w:rPr>
          <w:rFonts w:ascii="Arial" w:hAnsi="Arial"/>
          <w:sz w:val="20"/>
          <w:szCs w:val="20"/>
        </w:rPr>
        <w:t xml:space="preserve">čezmejne dejavnosti investicijskih podjetij. </w:t>
      </w:r>
    </w:p>
    <w:p w14:paraId="7124D03B" w14:textId="77777777" w:rsidR="005B7B95" w:rsidRPr="00702F75" w:rsidRDefault="005B7B95" w:rsidP="005B7B95">
      <w:pPr>
        <w:jc w:val="both"/>
        <w:rPr>
          <w:rFonts w:ascii="Arial" w:hAnsi="Arial"/>
          <w:sz w:val="20"/>
          <w:szCs w:val="20"/>
        </w:rPr>
      </w:pPr>
    </w:p>
    <w:p w14:paraId="2C555CB3" w14:textId="77777777" w:rsidR="005B7B95" w:rsidRPr="00702F75" w:rsidRDefault="005B7B95" w:rsidP="005B7B95">
      <w:pPr>
        <w:jc w:val="both"/>
        <w:rPr>
          <w:rFonts w:ascii="Arial" w:hAnsi="Arial"/>
          <w:sz w:val="20"/>
          <w:szCs w:val="20"/>
        </w:rPr>
      </w:pPr>
      <w:r w:rsidRPr="00702F75">
        <w:rPr>
          <w:rFonts w:ascii="Arial" w:hAnsi="Arial"/>
          <w:sz w:val="20"/>
          <w:szCs w:val="20"/>
        </w:rPr>
        <w:t>Več:</w:t>
      </w:r>
    </w:p>
    <w:p w14:paraId="61D1FCD7" w14:textId="77777777" w:rsidR="005B7B95" w:rsidRPr="00702F75" w:rsidRDefault="005B7B95" w:rsidP="005B7B95">
      <w:pPr>
        <w:jc w:val="both"/>
        <w:rPr>
          <w:rFonts w:ascii="Arial" w:hAnsi="Arial"/>
          <w:sz w:val="20"/>
          <w:szCs w:val="20"/>
        </w:rPr>
      </w:pPr>
      <w:hyperlink r:id="rId11" w:history="1">
        <w:r w:rsidRPr="00702F75">
          <w:rPr>
            <w:rStyle w:val="Hyperlink"/>
            <w:rFonts w:ascii="Arial" w:hAnsi="Arial"/>
            <w:sz w:val="20"/>
            <w:szCs w:val="20"/>
          </w:rPr>
          <w:t>Poročilo</w:t>
        </w:r>
      </w:hyperlink>
    </w:p>
    <w:p w14:paraId="649D50BC" w14:textId="026B074B" w:rsidR="00E7722A" w:rsidRDefault="00E7722A" w:rsidP="00CE3FCF">
      <w:pPr>
        <w:jc w:val="both"/>
        <w:rPr>
          <w:rFonts w:ascii="Arial" w:hAnsi="Arial"/>
          <w:sz w:val="20"/>
          <w:szCs w:val="20"/>
        </w:rPr>
      </w:pPr>
    </w:p>
    <w:p w14:paraId="5F0376DA" w14:textId="557E1872" w:rsidR="005B7B95" w:rsidRDefault="005B7B95" w:rsidP="00CE3FCF">
      <w:pPr>
        <w:jc w:val="both"/>
        <w:rPr>
          <w:rFonts w:ascii="Arial" w:hAnsi="Arial"/>
          <w:sz w:val="20"/>
          <w:szCs w:val="20"/>
        </w:rPr>
      </w:pPr>
    </w:p>
    <w:p w14:paraId="07C727AA" w14:textId="77777777" w:rsidR="00DA6F2F" w:rsidRPr="00DA6F2F" w:rsidRDefault="00DA6F2F" w:rsidP="00DA6F2F">
      <w:pPr>
        <w:jc w:val="both"/>
        <w:rPr>
          <w:rFonts w:ascii="Arial" w:hAnsi="Arial"/>
          <w:b/>
          <w:bCs/>
          <w:sz w:val="20"/>
          <w:szCs w:val="20"/>
        </w:rPr>
      </w:pPr>
      <w:r w:rsidRPr="00DA6F2F">
        <w:rPr>
          <w:rFonts w:ascii="Arial" w:hAnsi="Arial"/>
          <w:b/>
          <w:bCs/>
          <w:sz w:val="20"/>
          <w:szCs w:val="20"/>
        </w:rPr>
        <w:t>EU bo shemo  za brezplačno gostovanje podaljšala še za deset let</w:t>
      </w:r>
    </w:p>
    <w:p w14:paraId="7E496C29" w14:textId="77777777" w:rsidR="00DA6F2F" w:rsidRPr="004A7BB2" w:rsidRDefault="00DA6F2F" w:rsidP="00DA6F2F">
      <w:pPr>
        <w:jc w:val="both"/>
        <w:rPr>
          <w:rFonts w:ascii="Arial" w:hAnsi="Arial"/>
          <w:sz w:val="20"/>
          <w:szCs w:val="20"/>
        </w:rPr>
      </w:pPr>
    </w:p>
    <w:p w14:paraId="61C76511" w14:textId="77777777" w:rsidR="00DA6F2F" w:rsidRPr="004A7BB2" w:rsidRDefault="00DA6F2F" w:rsidP="00DA6F2F">
      <w:pPr>
        <w:jc w:val="both"/>
        <w:rPr>
          <w:rFonts w:ascii="Arial" w:hAnsi="Arial"/>
          <w:sz w:val="20"/>
          <w:szCs w:val="20"/>
        </w:rPr>
      </w:pPr>
      <w:r w:rsidRPr="004A7BB2">
        <w:rPr>
          <w:rFonts w:ascii="Arial" w:hAnsi="Arial"/>
          <w:sz w:val="20"/>
          <w:szCs w:val="20"/>
        </w:rPr>
        <w:t xml:space="preserve">Evropski parlament je potrdil uredbo o gostovanju s katero je podaljšal brezplačno mobilno gostovanje znotraj EU za deset let. Veljati bo </w:t>
      </w:r>
      <w:proofErr w:type="spellStart"/>
      <w:r w:rsidRPr="004A7BB2">
        <w:rPr>
          <w:rFonts w:ascii="Arial" w:hAnsi="Arial"/>
          <w:sz w:val="20"/>
          <w:szCs w:val="20"/>
        </w:rPr>
        <w:t>začela,ko</w:t>
      </w:r>
      <w:proofErr w:type="spellEnd"/>
      <w:r w:rsidRPr="004A7BB2">
        <w:rPr>
          <w:rFonts w:ascii="Arial" w:hAnsi="Arial"/>
          <w:sz w:val="20"/>
          <w:szCs w:val="20"/>
        </w:rPr>
        <w:t xml:space="preserve"> jo bodo potrdile še države članice v okviru Sveta EU.</w:t>
      </w:r>
    </w:p>
    <w:p w14:paraId="397D26E6" w14:textId="77777777" w:rsidR="00DA6F2F" w:rsidRPr="004A7BB2" w:rsidRDefault="00DA6F2F" w:rsidP="00DA6F2F">
      <w:pPr>
        <w:jc w:val="both"/>
        <w:rPr>
          <w:rFonts w:ascii="Arial" w:hAnsi="Arial"/>
          <w:sz w:val="20"/>
          <w:szCs w:val="20"/>
        </w:rPr>
      </w:pPr>
    </w:p>
    <w:p w14:paraId="114A2AB6" w14:textId="77777777" w:rsidR="00DA6F2F" w:rsidRPr="004A7BB2" w:rsidRDefault="00DA6F2F" w:rsidP="00DA6F2F">
      <w:pPr>
        <w:jc w:val="both"/>
        <w:rPr>
          <w:rFonts w:ascii="Arial" w:hAnsi="Arial"/>
          <w:sz w:val="20"/>
          <w:szCs w:val="20"/>
        </w:rPr>
      </w:pPr>
      <w:r w:rsidRPr="004A7BB2">
        <w:rPr>
          <w:rFonts w:ascii="Arial" w:hAnsi="Arial"/>
          <w:sz w:val="20"/>
          <w:szCs w:val="20"/>
        </w:rPr>
        <w:t>Več:</w:t>
      </w:r>
    </w:p>
    <w:p w14:paraId="655543D5" w14:textId="77777777" w:rsidR="00DA6F2F" w:rsidRPr="004A7BB2" w:rsidRDefault="00DA6F2F" w:rsidP="00DA6F2F">
      <w:pPr>
        <w:jc w:val="both"/>
        <w:rPr>
          <w:rFonts w:ascii="Arial" w:hAnsi="Arial"/>
          <w:sz w:val="20"/>
          <w:szCs w:val="20"/>
        </w:rPr>
      </w:pPr>
      <w:hyperlink r:id="rId12" w:history="1">
        <w:r w:rsidRPr="004A7BB2">
          <w:rPr>
            <w:rStyle w:val="Hyperlink"/>
            <w:rFonts w:ascii="Arial" w:hAnsi="Arial"/>
            <w:sz w:val="20"/>
            <w:szCs w:val="20"/>
          </w:rPr>
          <w:t>Uredba</w:t>
        </w:r>
      </w:hyperlink>
    </w:p>
    <w:p w14:paraId="131839AB" w14:textId="632BD18C" w:rsidR="00DA6F2F" w:rsidRDefault="00DA6F2F" w:rsidP="00DA6F2F">
      <w:pPr>
        <w:jc w:val="both"/>
        <w:rPr>
          <w:rFonts w:ascii="Arial" w:hAnsi="Arial"/>
          <w:sz w:val="20"/>
          <w:szCs w:val="20"/>
        </w:rPr>
      </w:pPr>
    </w:p>
    <w:p w14:paraId="2312CE97" w14:textId="77777777" w:rsidR="00DA6F2F" w:rsidRPr="004A7BB2" w:rsidRDefault="00DA6F2F" w:rsidP="00DA6F2F">
      <w:pPr>
        <w:jc w:val="both"/>
        <w:rPr>
          <w:rFonts w:ascii="Arial" w:hAnsi="Arial"/>
          <w:sz w:val="20"/>
          <w:szCs w:val="20"/>
        </w:rPr>
      </w:pPr>
    </w:p>
    <w:p w14:paraId="23690F31" w14:textId="77777777" w:rsidR="00DA6F2F" w:rsidRPr="00DA6F2F" w:rsidRDefault="00DA6F2F" w:rsidP="00DA6F2F">
      <w:pPr>
        <w:jc w:val="both"/>
        <w:rPr>
          <w:rFonts w:ascii="Arial" w:hAnsi="Arial"/>
          <w:b/>
          <w:bCs/>
          <w:sz w:val="20"/>
          <w:szCs w:val="20"/>
        </w:rPr>
      </w:pPr>
      <w:r w:rsidRPr="00DA6F2F">
        <w:rPr>
          <w:rFonts w:ascii="Arial" w:hAnsi="Arial"/>
          <w:b/>
          <w:bCs/>
          <w:sz w:val="20"/>
          <w:szCs w:val="20"/>
        </w:rPr>
        <w:t>Sodba o navedbi sestavin živila</w:t>
      </w:r>
    </w:p>
    <w:p w14:paraId="10789BE0" w14:textId="77777777" w:rsidR="00DA6F2F" w:rsidRPr="004A7BB2" w:rsidRDefault="00DA6F2F" w:rsidP="00DA6F2F">
      <w:pPr>
        <w:jc w:val="both"/>
        <w:rPr>
          <w:rFonts w:ascii="Arial" w:hAnsi="Arial"/>
          <w:sz w:val="20"/>
          <w:szCs w:val="20"/>
        </w:rPr>
      </w:pPr>
    </w:p>
    <w:p w14:paraId="7E00A861" w14:textId="77777777" w:rsidR="00DA6F2F" w:rsidRPr="004A7BB2" w:rsidRDefault="00DA6F2F" w:rsidP="00DA6F2F">
      <w:pPr>
        <w:jc w:val="both"/>
        <w:rPr>
          <w:rFonts w:ascii="Arial" w:hAnsi="Arial"/>
          <w:sz w:val="20"/>
          <w:szCs w:val="20"/>
        </w:rPr>
      </w:pPr>
      <w:r w:rsidRPr="004A7BB2">
        <w:rPr>
          <w:rFonts w:ascii="Arial" w:hAnsi="Arial"/>
          <w:sz w:val="20"/>
          <w:szCs w:val="20"/>
        </w:rPr>
        <w:t>Sodišče EU je odločilo, da je dovolj, če proizvajalec na seznamu sestavin naveden, da navede ime vitamina, ki ga vsebuje.</w:t>
      </w:r>
    </w:p>
    <w:p w14:paraId="7A48806E" w14:textId="77777777" w:rsidR="00DA6F2F" w:rsidRPr="004A7BB2" w:rsidRDefault="00DA6F2F" w:rsidP="00DA6F2F">
      <w:pPr>
        <w:jc w:val="both"/>
        <w:rPr>
          <w:rFonts w:ascii="Arial" w:hAnsi="Arial"/>
          <w:sz w:val="20"/>
          <w:szCs w:val="20"/>
        </w:rPr>
      </w:pPr>
    </w:p>
    <w:p w14:paraId="4A73EB14" w14:textId="77777777" w:rsidR="00DA6F2F" w:rsidRPr="004A7BB2" w:rsidRDefault="00DA6F2F" w:rsidP="00DA6F2F">
      <w:pPr>
        <w:jc w:val="both"/>
        <w:rPr>
          <w:rFonts w:ascii="Arial" w:hAnsi="Arial"/>
          <w:sz w:val="20"/>
          <w:szCs w:val="20"/>
        </w:rPr>
      </w:pPr>
      <w:r w:rsidRPr="004A7BB2">
        <w:rPr>
          <w:rFonts w:ascii="Arial" w:hAnsi="Arial"/>
          <w:sz w:val="20"/>
          <w:szCs w:val="20"/>
        </w:rPr>
        <w:t>Več:</w:t>
      </w:r>
    </w:p>
    <w:p w14:paraId="5C0E467D" w14:textId="77777777" w:rsidR="00DA6F2F" w:rsidRPr="004A7BB2" w:rsidRDefault="00DA6F2F" w:rsidP="00DA6F2F">
      <w:pPr>
        <w:jc w:val="both"/>
        <w:rPr>
          <w:rFonts w:ascii="Arial" w:hAnsi="Arial"/>
          <w:sz w:val="20"/>
          <w:szCs w:val="20"/>
        </w:rPr>
      </w:pPr>
      <w:hyperlink r:id="rId13" w:history="1">
        <w:r w:rsidRPr="004A7BB2">
          <w:rPr>
            <w:rStyle w:val="Hyperlink"/>
            <w:rFonts w:ascii="Arial" w:hAnsi="Arial"/>
            <w:sz w:val="20"/>
            <w:szCs w:val="20"/>
          </w:rPr>
          <w:t>Sodba</w:t>
        </w:r>
      </w:hyperlink>
    </w:p>
    <w:p w14:paraId="617CB20B" w14:textId="77777777" w:rsidR="00DA6F2F" w:rsidRDefault="00DA6F2F" w:rsidP="00CE3FCF">
      <w:pPr>
        <w:jc w:val="both"/>
        <w:rPr>
          <w:rFonts w:ascii="Arial" w:hAnsi="Arial"/>
          <w:sz w:val="20"/>
          <w:szCs w:val="20"/>
        </w:rPr>
      </w:pPr>
    </w:p>
    <w:p w14:paraId="5D53FE05" w14:textId="14877945" w:rsidR="00CE3FCF" w:rsidRDefault="00CE3FCF" w:rsidP="00CE3FCF">
      <w:pPr>
        <w:jc w:val="both"/>
        <w:rPr>
          <w:rFonts w:ascii="Arial" w:hAnsi="Arial"/>
          <w:sz w:val="20"/>
          <w:szCs w:val="20"/>
        </w:rPr>
      </w:pPr>
    </w:p>
    <w:p w14:paraId="4B751DB7" w14:textId="77777777" w:rsidR="00A35FF3" w:rsidRPr="00A35FF3" w:rsidRDefault="00A35FF3" w:rsidP="00A35FF3">
      <w:pPr>
        <w:jc w:val="both"/>
        <w:rPr>
          <w:rFonts w:ascii="Arial" w:hAnsi="Arial"/>
          <w:b/>
          <w:bCs/>
          <w:sz w:val="20"/>
          <w:szCs w:val="20"/>
        </w:rPr>
      </w:pPr>
      <w:r w:rsidRPr="00A35FF3">
        <w:rPr>
          <w:rFonts w:ascii="Arial" w:hAnsi="Arial"/>
          <w:b/>
          <w:bCs/>
          <w:sz w:val="20"/>
          <w:szCs w:val="20"/>
        </w:rPr>
        <w:t>Okvir za državno pomoč podjetjem, ki jih je prizadela ruska invazija v Ukrajini</w:t>
      </w:r>
    </w:p>
    <w:p w14:paraId="6701CB45" w14:textId="77777777" w:rsidR="00A35FF3" w:rsidRPr="004A7BB2" w:rsidRDefault="00A35FF3" w:rsidP="00A35FF3">
      <w:pPr>
        <w:jc w:val="both"/>
        <w:rPr>
          <w:rFonts w:ascii="Arial" w:hAnsi="Arial"/>
          <w:sz w:val="20"/>
          <w:szCs w:val="20"/>
        </w:rPr>
      </w:pPr>
    </w:p>
    <w:p w14:paraId="4AE01572" w14:textId="77777777" w:rsidR="00A35FF3" w:rsidRPr="004A7BB2" w:rsidRDefault="00A35FF3" w:rsidP="00A35FF3">
      <w:pPr>
        <w:jc w:val="both"/>
        <w:rPr>
          <w:rFonts w:ascii="Arial" w:hAnsi="Arial"/>
          <w:sz w:val="20"/>
          <w:szCs w:val="20"/>
        </w:rPr>
      </w:pPr>
      <w:r w:rsidRPr="004A7BB2">
        <w:rPr>
          <w:rFonts w:ascii="Arial" w:hAnsi="Arial"/>
          <w:sz w:val="20"/>
          <w:szCs w:val="20"/>
        </w:rPr>
        <w:t xml:space="preserve">Evropska komisija je sprejela začasni okvir za krizno pomoč, ki državam članicam omogoča, </w:t>
      </w:r>
      <w:r w:rsidRPr="004A7BB2">
        <w:rPr>
          <w:rFonts w:ascii="Arial" w:hAnsi="Arial"/>
          <w:sz w:val="20"/>
          <w:szCs w:val="20"/>
        </w:rPr>
        <w:t xml:space="preserve">da za podporo gospodarstvu v kontekstu ruske invazije na Ukrajino uporabijo prožnost, predvideno v pravilih o državni pomoči. Začasni okvir za krizno pomoč omogoča omejene zneske pomoči za podjetja v nekaterih sektorjih, likvidnostno podporo v obliki državnih poroštev in subvencioniranje posojil ter pomoč za nadomestilo visokih cen energije. </w:t>
      </w:r>
    </w:p>
    <w:p w14:paraId="11A3882A" w14:textId="77777777" w:rsidR="00A35FF3" w:rsidRPr="004A7BB2" w:rsidRDefault="00A35FF3" w:rsidP="00A35FF3">
      <w:pPr>
        <w:jc w:val="both"/>
        <w:rPr>
          <w:rFonts w:ascii="Arial" w:hAnsi="Arial"/>
          <w:sz w:val="20"/>
          <w:szCs w:val="20"/>
        </w:rPr>
      </w:pPr>
    </w:p>
    <w:p w14:paraId="49AB6D41" w14:textId="77777777" w:rsidR="00A35FF3" w:rsidRPr="004A7BB2" w:rsidRDefault="00A35FF3" w:rsidP="00A35FF3">
      <w:pPr>
        <w:jc w:val="both"/>
        <w:rPr>
          <w:rFonts w:ascii="Arial" w:hAnsi="Arial"/>
          <w:sz w:val="20"/>
          <w:szCs w:val="20"/>
        </w:rPr>
      </w:pPr>
      <w:r w:rsidRPr="004A7BB2">
        <w:rPr>
          <w:rFonts w:ascii="Arial" w:hAnsi="Arial"/>
          <w:sz w:val="20"/>
          <w:szCs w:val="20"/>
        </w:rPr>
        <w:t>Več:</w:t>
      </w:r>
    </w:p>
    <w:p w14:paraId="508B20B7" w14:textId="77777777" w:rsidR="00A35FF3" w:rsidRPr="004A7BB2" w:rsidRDefault="00A35FF3" w:rsidP="00A35FF3">
      <w:pPr>
        <w:jc w:val="both"/>
        <w:rPr>
          <w:rFonts w:ascii="Arial" w:hAnsi="Arial"/>
          <w:sz w:val="20"/>
          <w:szCs w:val="20"/>
        </w:rPr>
      </w:pPr>
      <w:hyperlink r:id="rId14" w:history="1">
        <w:r w:rsidRPr="004A7BB2">
          <w:rPr>
            <w:rStyle w:val="Hyperlink"/>
            <w:rFonts w:ascii="Arial" w:hAnsi="Arial"/>
            <w:sz w:val="20"/>
            <w:szCs w:val="20"/>
          </w:rPr>
          <w:t>Novica Evropske komisije s povezavo na sporočilo o začasnem okviru</w:t>
        </w:r>
      </w:hyperlink>
    </w:p>
    <w:p w14:paraId="2C4418B8" w14:textId="77777777" w:rsidR="00A35FF3" w:rsidRPr="00A67B4E" w:rsidRDefault="00A35FF3" w:rsidP="00CE3FCF">
      <w:pPr>
        <w:jc w:val="both"/>
        <w:rPr>
          <w:rFonts w:ascii="Arial" w:hAnsi="Arial"/>
          <w:sz w:val="20"/>
          <w:szCs w:val="20"/>
        </w:rPr>
      </w:pPr>
    </w:p>
    <w:p w14:paraId="03C30750" w14:textId="3B031BDB" w:rsidR="00E210AE" w:rsidRDefault="00E210AE" w:rsidP="00A57B4E">
      <w:pPr>
        <w:jc w:val="both"/>
        <w:rPr>
          <w:rFonts w:ascii="Arial" w:hAnsi="Arial"/>
          <w:sz w:val="20"/>
          <w:szCs w:val="20"/>
        </w:rPr>
      </w:pPr>
    </w:p>
    <w:p w14:paraId="0150778E" w14:textId="77777777" w:rsidR="00CE3FCF" w:rsidRPr="00A67B4E" w:rsidRDefault="00CE3FCF" w:rsidP="00A57B4E">
      <w:pPr>
        <w:jc w:val="both"/>
        <w:rPr>
          <w:rFonts w:ascii="Arial" w:hAnsi="Arial"/>
          <w:sz w:val="20"/>
          <w:szCs w:val="20"/>
        </w:rPr>
      </w:pPr>
    </w:p>
    <w:p w14:paraId="3D6E0D76" w14:textId="77777777" w:rsidR="008A3627" w:rsidRPr="00056171" w:rsidRDefault="008A3627" w:rsidP="008A3627">
      <w:pPr>
        <w:jc w:val="both"/>
        <w:rPr>
          <w:rFonts w:ascii="Arial" w:hAnsi="Arial"/>
          <w:sz w:val="20"/>
          <w:szCs w:val="20"/>
        </w:rPr>
      </w:pPr>
    </w:p>
    <w:p w14:paraId="3E5BF758" w14:textId="77777777" w:rsidR="00C20E2E" w:rsidRDefault="00C20E2E" w:rsidP="0014469E"/>
    <w:sectPr w:rsidR="00C20E2E" w:rsidSect="005D5EFA">
      <w:headerReference w:type="first" r:id="rId15"/>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67B4" w14:textId="77777777" w:rsidR="00841B04" w:rsidRDefault="00841B04" w:rsidP="005D5EFA">
      <w:r>
        <w:separator/>
      </w:r>
    </w:p>
  </w:endnote>
  <w:endnote w:type="continuationSeparator" w:id="0">
    <w:p w14:paraId="0A755360" w14:textId="77777777" w:rsidR="00841B04" w:rsidRDefault="00841B04" w:rsidP="005D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967F3" w14:textId="77777777" w:rsidR="00841B04" w:rsidRDefault="00841B04" w:rsidP="005D5EFA">
      <w:r>
        <w:separator/>
      </w:r>
    </w:p>
  </w:footnote>
  <w:footnote w:type="continuationSeparator" w:id="0">
    <w:p w14:paraId="778E579D" w14:textId="77777777" w:rsidR="00841B04" w:rsidRDefault="00841B04" w:rsidP="005D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D635" w14:textId="570464EE" w:rsidR="005D5EFA" w:rsidRDefault="005F6CF5" w:rsidP="005F6CF5">
    <w:pPr>
      <w:pStyle w:val="Header"/>
      <w:jc w:val="center"/>
    </w:pPr>
    <w:r>
      <w:object w:dxaOrig="6250" w:dyaOrig="2760" w14:anchorId="4E687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9.5pt;height:176.5pt">
          <v:imagedata r:id="rId1" o:title=""/>
        </v:shape>
        <o:OLEObject Type="Embed" ProgID="Paint.Picture" ShapeID="_x0000_i1026" DrawAspect="Content" ObjectID="_1710249470"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B3"/>
    <w:rsid w:val="0014469E"/>
    <w:rsid w:val="003B6EEB"/>
    <w:rsid w:val="003E7DDC"/>
    <w:rsid w:val="005B7B95"/>
    <w:rsid w:val="005D5EFA"/>
    <w:rsid w:val="005E31ED"/>
    <w:rsid w:val="005F6CF5"/>
    <w:rsid w:val="00775FAB"/>
    <w:rsid w:val="00841B04"/>
    <w:rsid w:val="008A3627"/>
    <w:rsid w:val="008D784A"/>
    <w:rsid w:val="009C553A"/>
    <w:rsid w:val="00A3100F"/>
    <w:rsid w:val="00A35FF3"/>
    <w:rsid w:val="00A57B4E"/>
    <w:rsid w:val="00B43ACF"/>
    <w:rsid w:val="00C20E2E"/>
    <w:rsid w:val="00CB21B3"/>
    <w:rsid w:val="00CE3FCF"/>
    <w:rsid w:val="00D347F8"/>
    <w:rsid w:val="00D70E11"/>
    <w:rsid w:val="00DA6F2F"/>
    <w:rsid w:val="00E210AE"/>
    <w:rsid w:val="00E75224"/>
    <w:rsid w:val="00E7722A"/>
    <w:rsid w:val="00FA776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40C"/>
  <w15:chartTrackingRefBased/>
  <w15:docId w15:val="{E7CA844B-9AF3-4AB3-9C24-08B41ED1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9E"/>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69E"/>
    <w:rPr>
      <w:color w:val="0563C1" w:themeColor="hyperlink"/>
      <w:u w:val="single"/>
    </w:rPr>
  </w:style>
  <w:style w:type="paragraph" w:styleId="Header">
    <w:name w:val="header"/>
    <w:basedOn w:val="Normal"/>
    <w:link w:val="HeaderChar"/>
    <w:uiPriority w:val="99"/>
    <w:unhideWhenUsed/>
    <w:rsid w:val="005D5EF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D5EFA"/>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5D5EF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D5EFA"/>
    <w:rPr>
      <w:rFonts w:ascii="Times New Roman" w:eastAsia="NSimSun" w:hAnsi="Times New Roman" w:cs="Mangal"/>
      <w:kern w:val="2"/>
      <w:sz w:val="24"/>
      <w:szCs w:val="21"/>
      <w:lang w:val="sl-SI" w:eastAsia="zh-CN" w:bidi="hi-IN"/>
    </w:rPr>
  </w:style>
  <w:style w:type="character" w:styleId="FollowedHyperlink">
    <w:name w:val="FollowedHyperlink"/>
    <w:basedOn w:val="DefaultParagraphFont"/>
    <w:uiPriority w:val="99"/>
    <w:semiHidden/>
    <w:unhideWhenUsed/>
    <w:rsid w:val="009C5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langId=en&amp;catId=89&amp;newsId=10181&amp;furtherNews=yes" TargetMode="External"/><Relationship Id="rId13" Type="http://schemas.openxmlformats.org/officeDocument/2006/relationships/hyperlink" Target="https://curia.europa.eu/juris/documents.jsf?oqp=&amp;for=&amp;mat=or&amp;lgrec=en&amp;jge=&amp;td=%3BALL&amp;jur=C%2CT%2CF&amp;num=C-533%252F20&amp;page=1&amp;dates=&amp;pcs=Oor&amp;lg=&amp;pro=&amp;nat=or&amp;cit=none%252CC%252CCJ%252CR%252C2008E%252C%252C%252C%252C%252C%252C%252C%252C%252C%252Ctrue%252Cfalse%25" TargetMode="External"/><Relationship Id="rId3" Type="http://schemas.openxmlformats.org/officeDocument/2006/relationships/webSettings" Target="webSettings.xml"/><Relationship Id="rId7" Type="http://schemas.openxmlformats.org/officeDocument/2006/relationships/hyperlink" Target="https://eic.ec.europa.eu/eic-funding-opportunities/eic-prizes/eu-prize-women-innovators_en" TargetMode="External"/><Relationship Id="rId12" Type="http://schemas.openxmlformats.org/officeDocument/2006/relationships/hyperlink" Target="https://www.europarl.europa.eu/doceo/document/TA-9-2022-0089_SL.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europa.eu/info/law/better-regulation/have-your-say/initiatives/13305-Sporazumi-o-trajnostnosti-v-kmetijstvu-smernice-o-odstopanju-od-protimonopolnih-pravil_sl" TargetMode="External"/><Relationship Id="rId11" Type="http://schemas.openxmlformats.org/officeDocument/2006/relationships/hyperlink" Target="https://www.esma.europa.eu/file/123230/download?token=V9dIXlFb"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ata.consilium.europa.eu/doc/document/ST-7101-2022-INIT/en/pdf" TargetMode="External"/><Relationship Id="rId4" Type="http://schemas.openxmlformats.org/officeDocument/2006/relationships/footnotes" Target="footnotes.xml"/><Relationship Id="rId9" Type="http://schemas.openxmlformats.org/officeDocument/2006/relationships/hyperlink" Target="https://survey.alchemer.eu/s3/90424346/Vademecum-Survey" TargetMode="External"/><Relationship Id="rId14" Type="http://schemas.openxmlformats.org/officeDocument/2006/relationships/hyperlink" Target="https://ec.europa.eu/commission/presscorner/detail/sl/STATEMENT_22_1949"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18</cp:revision>
  <dcterms:created xsi:type="dcterms:W3CDTF">2022-02-28T13:32:00Z</dcterms:created>
  <dcterms:modified xsi:type="dcterms:W3CDTF">2022-03-31T14:31:00Z</dcterms:modified>
</cp:coreProperties>
</file>