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6EC11261" w14:textId="77777777" w:rsidTr="00C5150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C5150B" w14:paraId="7A9484C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5F3A574" w14:textId="77777777" w:rsidR="00C5150B" w:rsidRDefault="00C5150B" w:rsidP="00C5150B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Predlogi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komisije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 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turizem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vnovično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vzpostavitev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prevoznih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storitev</w:t>
                  </w:r>
                  <w:proofErr w:type="spellEnd"/>
                </w:p>
                <w:p w14:paraId="027475DE" w14:textId="77777777" w:rsidR="00C5150B" w:rsidRDefault="00C5150B">
                  <w:pPr>
                    <w:spacing w:line="360" w:lineRule="auto"/>
                    <w:ind w:right="119"/>
                    <w:jc w:val="both"/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17761B1C" wp14:editId="5F903E9C">
                        <wp:extent cx="2463800" cy="99168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3207" cy="999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predstavila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sveženj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predlogov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turizem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prevoz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bi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pomagal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varni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ponovni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vzpostavitvi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potovanj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zagonu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evropskega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turističnega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sektorja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letu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2020 in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prihodnje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Paket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smernic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priporočil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bi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bil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pomoč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državam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članicam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postopni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odpravi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omejitev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potovanj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ter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ponovnem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delu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turističnih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podjetij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Namen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svežnja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tudi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pomagati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turističnemu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sektorju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EU z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omogočanjem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podpore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8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Smernice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prevoznih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storitvah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&amp;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9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Smernice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turističnih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storitvah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ter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gostinskih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nastanitvenih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obratih</w:t>
                    </w:r>
                    <w:proofErr w:type="spellEnd"/>
                  </w:hyperlink>
                </w:p>
                <w:p w14:paraId="4F1F3080" w14:textId="5820EEC2" w:rsidR="00C5150B" w:rsidRDefault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</w:p>
              </w:tc>
            </w:tr>
          </w:tbl>
          <w:p w14:paraId="2EB69DD0" w14:textId="77777777" w:rsidR="00C5150B" w:rsidRDefault="00C5150B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1AA135F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ED0EE09" w14:textId="77777777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Nov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sveženj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izrednih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ukrepov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kmetijskim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živilskim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sektorjem</w:t>
                  </w:r>
                  <w:proofErr w:type="spellEnd"/>
                </w:p>
                <w:p w14:paraId="20488EF6" w14:textId="1F1EF042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28FACFD9" wp14:editId="7B877B6A">
                        <wp:extent cx="2406650" cy="968677"/>
                        <wp:effectExtent l="0" t="0" r="0" b="3175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8589" cy="973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Pomoč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zasebno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skladiščenje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sektorja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mleka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mesa,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začasno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odobritev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tržnih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ukrepov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samoorganizacije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strani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izvajalcev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sektorjih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so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močno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prizadeti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ter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prožnost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izvajanju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programov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trgu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vsebuje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sveženj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izrednih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ukrepov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kmetijskim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živilskim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sektorjem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pripravila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. Poleg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tržnih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ukrepov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še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predlaga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da bi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države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članice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lahko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sredstva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razvoj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podeželja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uporabile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nadomestilo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kmetom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višini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do 5.000 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malim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agroživilskim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podjetjem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višini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do 50.000 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1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Delegirane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uredbe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</w:hyperlink>
                </w:p>
              </w:tc>
            </w:tr>
          </w:tbl>
          <w:p w14:paraId="35A0A405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EB06C6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776561C1" w14:textId="77777777" w:rsidTr="00C5150B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C5150B" w14:paraId="3C9A15E4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6FDDBA" w14:textId="77777777" w:rsidR="00C5150B" w:rsidRDefault="00C5150B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7E46A643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642E6A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2D88CF5B" w14:textId="77777777" w:rsidTr="00C5150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63B809D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9555161" w14:textId="22BDF382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  <w:lang w:val="en-BE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Podpora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inovativnih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malih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srednjih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podjetij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boju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proti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covidu-19</w:t>
                  </w:r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39048708" wp14:editId="5A152D51">
                        <wp:extent cx="2362200" cy="946055"/>
                        <wp:effectExtent l="0" t="0" r="0" b="698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7570" cy="964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3A9FBF" w14:textId="77777777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lastRenderedPageBreak/>
                    <w:t xml:space="preserve">Do 15.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septembra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odprt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razpis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MedTech Open Innovation Testbed (OITB)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zbiranje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ponudb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rešitev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boj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proti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novemu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koronavirusu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jih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razvijajo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mala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srednja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zagonska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institucije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izvajajo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aplikativne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raziskave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3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informacijami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razpisu</w:t>
                    </w:r>
                    <w:proofErr w:type="spellEnd"/>
                  </w:hyperlink>
                </w:p>
                <w:p w14:paraId="491FCAE8" w14:textId="48DA7155" w:rsidR="00C5150B" w:rsidRDefault="00C5150B">
                  <w:pPr>
                    <w:spacing w:line="360" w:lineRule="auto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</w:p>
              </w:tc>
            </w:tr>
          </w:tbl>
          <w:p w14:paraId="265F2620" w14:textId="77777777" w:rsidR="00C5150B" w:rsidRDefault="00C5150B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6AA63EF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B464E00" w14:textId="77777777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Predsednica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komisije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predstavila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načrt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okrevanje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gospodarstva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po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pandemiji</w:t>
                  </w:r>
                  <w:proofErr w:type="spellEnd"/>
                </w:p>
                <w:p w14:paraId="432B2E91" w14:textId="15421140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606060"/>
                      <w:sz w:val="23"/>
                      <w:szCs w:val="23"/>
                    </w:rPr>
                    <w:drawing>
                      <wp:inline distT="0" distB="0" distL="0" distR="0" wp14:anchorId="7DBD1784" wp14:editId="432CD324">
                        <wp:extent cx="2425700" cy="971487"/>
                        <wp:effectExtent l="0" t="0" r="0" b="63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0424" cy="981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Predsednica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Ursula von der Leyen je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parlamentu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predstavila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načrt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okrevanje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gospodarstva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po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pandemiji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Vir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sredstev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večletni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finančni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okvir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2021-2027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okrevanje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katerega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bo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denar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zagotovila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zadolževanjem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finančnih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trgih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jamstvom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držav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članic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Zneskov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navedla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5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Nagovor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predsednice</w:t>
                    </w:r>
                    <w:proofErr w:type="spellEnd"/>
                  </w:hyperlink>
                </w:p>
              </w:tc>
            </w:tr>
          </w:tbl>
          <w:p w14:paraId="06CACF8C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8790F3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176B69F8" w14:textId="77777777" w:rsidTr="00C5150B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C5150B" w14:paraId="543BA1B1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D0B1A4" w14:textId="77777777" w:rsidR="00C5150B" w:rsidRDefault="00C5150B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0EB6D739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CD14C8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37285D7E" w14:textId="77777777" w:rsidTr="00C5150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61F679B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CA2ED48" w14:textId="6DAD0A29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  <w:lang w:val="en-BE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Dopolnitev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razpisa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COSME v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okviru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ukrepov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Covid-19</w:t>
                  </w:r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5A3C2C72" wp14:editId="6176214D">
                        <wp:extent cx="2432050" cy="978900"/>
                        <wp:effectExtent l="0" t="0" r="635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529" cy="985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75DEF0" w14:textId="77777777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investicijski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sklad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dopolnil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razpis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programa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COSME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izbor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finančnih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posrednikov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podlagi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sheme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jamstva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posojila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mala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srednja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7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o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dopolnitvi</w:t>
                    </w:r>
                    <w:proofErr w:type="spellEnd"/>
                  </w:hyperlink>
                </w:p>
              </w:tc>
            </w:tr>
          </w:tbl>
          <w:p w14:paraId="47A8948F" w14:textId="77777777" w:rsidR="00C5150B" w:rsidRDefault="00C5150B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C5150B" w14:paraId="3F6D95B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958106F" w14:textId="77777777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Predlog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preložitev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uveljavitve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davčne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zakonodaje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zaradi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pandemije</w:t>
                  </w:r>
                  <w:proofErr w:type="spellEnd"/>
                </w:p>
                <w:p w14:paraId="327B4E0A" w14:textId="0B7AAF55" w:rsidR="00C5150B" w:rsidRDefault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5181F73E" wp14:editId="735CB527">
                        <wp:extent cx="2451100" cy="986568"/>
                        <wp:effectExtent l="0" t="0" r="6350" b="444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502" cy="995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zaradi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pandemije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novega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koronavirusa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predlaga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preložitev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uveljavitve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svežnja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zakonodaje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 o DDV za e-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trgovino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šest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mesecev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preložitev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nekaterih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rokov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direktivi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upravnem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sodelovanju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področju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obdavčevanja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19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Spletna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stran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s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predlogom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</w:hyperlink>
                </w:p>
              </w:tc>
            </w:tr>
          </w:tbl>
          <w:p w14:paraId="6A14B31D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976B37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27858BC9" w14:textId="77777777" w:rsidTr="00C5150B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C5150B" w14:paraId="56985C35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F8D88D" w14:textId="77777777" w:rsidR="00C5150B" w:rsidRDefault="00C5150B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2E1645EE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506D12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4203FDB0" w14:textId="77777777" w:rsidTr="00C5150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61CA55B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D751738" w14:textId="6BFC9BCA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  <w:lang w:val="en-BE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Posvetovanje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kapitalskih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trgih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podporo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rasti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malih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srednjih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podjetij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v EU</w:t>
                  </w:r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01F6D999" wp14:editId="4367D013">
                        <wp:extent cx="2362200" cy="950786"/>
                        <wp:effectExtent l="0" t="0" r="0" b="190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5194" cy="956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8845B" w14:textId="77777777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organ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vrednostne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papirje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trge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(ESMA) do 15.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julija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prek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javnega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posvetovanja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zbira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mnenja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deležnikov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o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delovanju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kapitalskih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trgov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mala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srednja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podjetja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lastRenderedPageBreak/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1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Javno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posvetovanje</w:t>
                    </w:r>
                    <w:proofErr w:type="spellEnd"/>
                  </w:hyperlink>
                </w:p>
              </w:tc>
            </w:tr>
          </w:tbl>
          <w:p w14:paraId="2A46882D" w14:textId="77777777" w:rsidR="00C5150B" w:rsidRDefault="00C5150B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09C4E9B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EE2E6C9" w14:textId="77777777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išče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strokovnjake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IKT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oceno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prijav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projektov</w:t>
                  </w:r>
                  <w:proofErr w:type="spellEnd"/>
                </w:p>
                <w:p w14:paraId="11BC8EF4" w14:textId="448434B9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76066E6A" wp14:editId="6E1735D4">
                        <wp:extent cx="2400300" cy="966121"/>
                        <wp:effectExtent l="0" t="0" r="0" b="571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4469" cy="975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vabi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strokovnjake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s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informacijsko-komunikacijskih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tehnologij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(IKT)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se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čim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prej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vpišejo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seznam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strokovnjakov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ocenjevanje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prijav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projektov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3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Poziv</w:t>
                    </w:r>
                    <w:proofErr w:type="spellEnd"/>
                  </w:hyperlink>
                </w:p>
              </w:tc>
            </w:tr>
          </w:tbl>
          <w:p w14:paraId="624667AB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28185D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4021D3DF" w14:textId="77777777" w:rsidTr="00C5150B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C5150B" w14:paraId="2A424752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3B6FF1" w14:textId="77777777" w:rsidR="00C5150B" w:rsidRDefault="00C5150B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4BB6D54D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C9F73D" w14:textId="77777777" w:rsidR="00C5150B" w:rsidRDefault="00C5150B" w:rsidP="00C5150B">
      <w:pPr>
        <w:rPr>
          <w:rFonts w:eastAsia="Times New Roman"/>
          <w:vanish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C5150B" w14:paraId="213EB03B" w14:textId="77777777" w:rsidTr="00C5150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4864856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B1EC836" w14:textId="17C9880E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rPr>
                      <w:rFonts w:ascii="Helvetica" w:hAnsi="Helvetica" w:cs="Helvetica"/>
                      <w:color w:val="606060"/>
                      <w:spacing w:val="-8"/>
                      <w:lang w:val="en-BE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Razpis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Instrumenta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povezovanje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Evrope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(CEF) s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področja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digitalne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infrastrukture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podaljšan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606060"/>
                      <w:spacing w:val="-8"/>
                    </w:rPr>
                    <w:drawing>
                      <wp:inline distT="0" distB="0" distL="0" distR="0" wp14:anchorId="6FC6BC50" wp14:editId="5BEDC04F">
                        <wp:extent cx="2355850" cy="948230"/>
                        <wp:effectExtent l="0" t="0" r="6350" b="444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9557" cy="9537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F38C93" w14:textId="77777777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razpis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Instrumenta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povezovanje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(CEF)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projekte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vzpostavitev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digitalne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infrastrukture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podaljšala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do 25.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junija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Vprašanja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povezavi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z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razpisom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sprejema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do 18.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junija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5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Sporočilo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Evropske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komisije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s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povezavo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na</w:t>
                    </w:r>
                    <w:proofErr w:type="spellEnd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razpis</w:t>
                    </w:r>
                    <w:proofErr w:type="spellEnd"/>
                  </w:hyperlink>
                </w:p>
              </w:tc>
            </w:tr>
          </w:tbl>
          <w:p w14:paraId="535F458B" w14:textId="77777777" w:rsidR="00C5150B" w:rsidRDefault="00C5150B">
            <w:pPr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5150B" w14:paraId="0F63FE6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8FBC003" w14:textId="77777777" w:rsidR="00C5150B" w:rsidRDefault="00C5150B">
                  <w:pPr>
                    <w:pStyle w:val="Heading3"/>
                    <w:spacing w:before="0" w:beforeAutospacing="0" w:after="0" w:afterAutospacing="0" w:line="300" w:lineRule="auto"/>
                    <w:jc w:val="both"/>
                    <w:rPr>
                      <w:rFonts w:ascii="Helvetica" w:hAnsi="Helvetica" w:cs="Helvetica"/>
                      <w:color w:val="606060"/>
                      <w:spacing w:val="-8"/>
                    </w:rPr>
                  </w:pP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Vzpostavljena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je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platforma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Creatives Unite za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umetnike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druge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kulturne</w:t>
                  </w:r>
                  <w:proofErr w:type="spellEnd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b/>
                      <w:bCs/>
                      <w:color w:val="000080"/>
                      <w:spacing w:val="-8"/>
                    </w:rPr>
                    <w:t>ustvarjalce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pacing w:val="-8"/>
                    </w:rPr>
                    <w:br/>
                    <w:t> </w:t>
                  </w:r>
                </w:p>
                <w:p w14:paraId="3D01F6C0" w14:textId="091ED5BB" w:rsidR="00C5150B" w:rsidRDefault="00C5150B" w:rsidP="00C5150B">
                  <w:pPr>
                    <w:spacing w:line="360" w:lineRule="auto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</w:rPr>
                    <w:drawing>
                      <wp:inline distT="0" distB="0" distL="0" distR="0" wp14:anchorId="363337E2" wp14:editId="5C8F549C">
                        <wp:extent cx="2330450" cy="938006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5131" cy="947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Da bi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lahko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lažje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delili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podatke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izkušnje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glede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ukrepov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ob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nastali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krizi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, je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Evropska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komisija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vzpostavila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platformo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Creatives Unite,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namenjeno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umetnikom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drugim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kulturnim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ustvarjalcem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Več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60606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</w:rPr>
                    <w:br/>
                  </w:r>
                  <w:hyperlink r:id="rId27" w:tgtFrame="_blank" w:history="1">
                    <w:proofErr w:type="spellStart"/>
                    <w:r>
                      <w:rPr>
                        <w:rStyle w:val="Hyperlink"/>
                        <w:rFonts w:ascii="Arial" w:eastAsia="Times New Roman" w:hAnsi="Arial" w:cs="Arial"/>
                        <w:color w:val="DAA520"/>
                        <w:sz w:val="18"/>
                        <w:szCs w:val="18"/>
                      </w:rPr>
                      <w:t>Platforma</w:t>
                    </w:r>
                    <w:proofErr w:type="spellEnd"/>
                  </w:hyperlink>
                </w:p>
              </w:tc>
            </w:tr>
          </w:tbl>
          <w:p w14:paraId="0A23FA1C" w14:textId="77777777" w:rsidR="00C5150B" w:rsidRDefault="00C51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A2A30A" w14:textId="5B09EC73" w:rsidR="001E0747" w:rsidRDefault="00ED0AF2"/>
    <w:sectPr w:rsidR="001E0747" w:rsidSect="00610D2D">
      <w:headerReference w:type="first" r:id="rId28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8EF7" w14:textId="77777777" w:rsidR="00ED0AF2" w:rsidRDefault="00ED0AF2" w:rsidP="005007BC">
      <w:r>
        <w:separator/>
      </w:r>
    </w:p>
  </w:endnote>
  <w:endnote w:type="continuationSeparator" w:id="0">
    <w:p w14:paraId="2E3DEA99" w14:textId="77777777" w:rsidR="00ED0AF2" w:rsidRDefault="00ED0AF2" w:rsidP="0050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10EA" w14:textId="77777777" w:rsidR="00ED0AF2" w:rsidRDefault="00ED0AF2" w:rsidP="005007BC">
      <w:r>
        <w:separator/>
      </w:r>
    </w:p>
  </w:footnote>
  <w:footnote w:type="continuationSeparator" w:id="0">
    <w:p w14:paraId="0E30F6E1" w14:textId="77777777" w:rsidR="00ED0AF2" w:rsidRDefault="00ED0AF2" w:rsidP="0050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AA2CA" w14:textId="0C4C0FF6" w:rsidR="00610D2D" w:rsidRDefault="00C5150B">
    <w:pPr>
      <w:pStyle w:val="Header"/>
    </w:pPr>
    <w:r>
      <w:rPr>
        <w:rFonts w:eastAsia="Times New Roman"/>
        <w:noProof/>
      </w:rPr>
      <w:drawing>
        <wp:inline distT="0" distB="0" distL="0" distR="0" wp14:anchorId="17C11DA5" wp14:editId="1C625E57">
          <wp:extent cx="5731510" cy="253492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3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7"/>
    <w:rsid w:val="000F15F2"/>
    <w:rsid w:val="00272D43"/>
    <w:rsid w:val="005007BC"/>
    <w:rsid w:val="00610D2D"/>
    <w:rsid w:val="006243D7"/>
    <w:rsid w:val="00775FAB"/>
    <w:rsid w:val="007D076B"/>
    <w:rsid w:val="008E1A8E"/>
    <w:rsid w:val="00A60C98"/>
    <w:rsid w:val="00C5150B"/>
    <w:rsid w:val="00D347F8"/>
    <w:rsid w:val="00E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5B6D"/>
  <w15:chartTrackingRefBased/>
  <w15:docId w15:val="{BEFF8E15-6A4A-4A70-9495-E7800F64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B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qFormat/>
    <w:rsid w:val="00610D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7BC"/>
    <w:pPr>
      <w:tabs>
        <w:tab w:val="center" w:pos="4513"/>
        <w:tab w:val="right" w:pos="9026"/>
      </w:tabs>
    </w:pPr>
    <w:rPr>
      <w:rFonts w:asciiTheme="minorHAnsi" w:hAnsiTheme="minorHAnsi" w:cstheme="minorBidi"/>
      <w:lang w:val="en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07BC"/>
  </w:style>
  <w:style w:type="paragraph" w:styleId="Footer">
    <w:name w:val="footer"/>
    <w:basedOn w:val="Normal"/>
    <w:link w:val="FooterChar"/>
    <w:uiPriority w:val="99"/>
    <w:unhideWhenUsed/>
    <w:rsid w:val="005007BC"/>
    <w:pPr>
      <w:tabs>
        <w:tab w:val="center" w:pos="4513"/>
        <w:tab w:val="right" w:pos="9026"/>
      </w:tabs>
    </w:pPr>
    <w:rPr>
      <w:rFonts w:asciiTheme="minorHAnsi" w:hAnsiTheme="minorHAnsi" w:cstheme="minorBidi"/>
      <w:lang w:val="en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7BC"/>
  </w:style>
  <w:style w:type="character" w:customStyle="1" w:styleId="Heading3Char">
    <w:name w:val="Heading 3 Char"/>
    <w:basedOn w:val="DefaultParagraphFont"/>
    <w:link w:val="Heading3"/>
    <w:uiPriority w:val="9"/>
    <w:rsid w:val="00610D2D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610D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396a01565e&amp;e=4c4d9f6b81" TargetMode="External"/><Relationship Id="rId13" Type="http://schemas.openxmlformats.org/officeDocument/2006/relationships/hyperlink" Target="https://sbra.us8.list-manage.com/track/click?u=e6e6edab27aee286b10f651f9&amp;id=06099b571c&amp;e=4c4d9f6b81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sbra.us8.list-manage.com/track/click?u=e6e6edab27aee286b10f651f9&amp;id=9cc155f566&amp;e=4c4d9f6b8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sbra.us8.list-manage.com/track/click?u=e6e6edab27aee286b10f651f9&amp;id=b0c0f63136&amp;e=4c4d9f6b81" TargetMode="External"/><Relationship Id="rId25" Type="http://schemas.openxmlformats.org/officeDocument/2006/relationships/hyperlink" Target="https://sbra.us8.list-manage.com/track/click?u=e6e6edab27aee286b10f651f9&amp;id=8755da09cd&amp;e=4c4d9f6b8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bra.us8.list-manage.com/track/click?u=e6e6edab27aee286b10f651f9&amp;id=2832cb103e&amp;e=4c4d9f6b81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sbra.us8.list-manage.com/track/click?u=e6e6edab27aee286b10f651f9&amp;id=7b2545f016&amp;e=4c4d9f6b81" TargetMode="External"/><Relationship Id="rId23" Type="http://schemas.openxmlformats.org/officeDocument/2006/relationships/hyperlink" Target="https://sbra.us8.list-manage.com/track/click?u=e6e6edab27aee286b10f651f9&amp;id=5e6cc9be35&amp;e=4c4d9f6b81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sbra.us8.list-manage.com/track/click?u=e6e6edab27aee286b10f651f9&amp;id=a1cc6924eb&amp;e=4c4d9f6b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ra.us8.list-manage.com/track/click?u=e6e6edab27aee286b10f651f9&amp;id=7bec6ebaf8&amp;e=4c4d9f6b8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sbra.us8.list-manage.com/track/click?u=e6e6edab27aee286b10f651f9&amp;id=59d5b5f7ed&amp;e=4c4d9f6b81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C80C-2029-459D-9B17-301A552B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bostjansinkovec@yahoo.com</dc:creator>
  <cp:keywords/>
  <dc:description/>
  <cp:lastModifiedBy>bostjansinkovec@yahoo.com</cp:lastModifiedBy>
  <cp:revision>3</cp:revision>
  <dcterms:created xsi:type="dcterms:W3CDTF">2020-05-15T15:20:00Z</dcterms:created>
  <dcterms:modified xsi:type="dcterms:W3CDTF">2020-05-15T15:22:00Z</dcterms:modified>
</cp:coreProperties>
</file>