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6EE08" w14:textId="1FF44D1F" w:rsidR="0014469E" w:rsidRPr="005D5EFA" w:rsidRDefault="0014469E" w:rsidP="0014469E">
      <w:pPr>
        <w:jc w:val="both"/>
        <w:rPr>
          <w:rFonts w:ascii="Arial" w:hAnsi="Arial"/>
          <w:b/>
          <w:bCs/>
          <w:color w:val="002060"/>
        </w:rPr>
      </w:pPr>
      <w:r w:rsidRPr="005D5EFA">
        <w:rPr>
          <w:rFonts w:ascii="Arial" w:hAnsi="Arial"/>
          <w:b/>
          <w:bCs/>
          <w:color w:val="002060"/>
        </w:rPr>
        <w:t>Evropska komisija je predstavila novo strategijo za standardizacijo</w:t>
      </w:r>
    </w:p>
    <w:p w14:paraId="7A3F6764" w14:textId="446FD4FD" w:rsidR="005D5EFA" w:rsidRDefault="005D5EFA" w:rsidP="0014469E">
      <w:pPr>
        <w:jc w:val="both"/>
        <w:rPr>
          <w:rFonts w:ascii="Arial" w:hAnsi="Arial"/>
          <w:sz w:val="20"/>
          <w:szCs w:val="20"/>
        </w:rPr>
      </w:pPr>
    </w:p>
    <w:p w14:paraId="114ACC79" w14:textId="3A78EFF0" w:rsidR="005D5EFA" w:rsidRPr="00447250" w:rsidRDefault="005D5EFA" w:rsidP="0014469E">
      <w:pPr>
        <w:jc w:val="both"/>
        <w:rPr>
          <w:rFonts w:ascii="Arial" w:hAnsi="Arial"/>
          <w:sz w:val="20"/>
          <w:szCs w:val="20"/>
        </w:rPr>
      </w:pPr>
      <w:r>
        <w:rPr>
          <w:noProof/>
        </w:rPr>
        <w:drawing>
          <wp:inline distT="0" distB="0" distL="0" distR="0" wp14:anchorId="764F0C07" wp14:editId="643E05FF">
            <wp:extent cx="2540000" cy="102870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0000" cy="1028700"/>
                    </a:xfrm>
                    <a:prstGeom prst="rect">
                      <a:avLst/>
                    </a:prstGeom>
                    <a:noFill/>
                    <a:ln>
                      <a:noFill/>
                    </a:ln>
                  </pic:spPr>
                </pic:pic>
              </a:graphicData>
            </a:graphic>
          </wp:inline>
        </w:drawing>
      </w:r>
    </w:p>
    <w:p w14:paraId="32B67AF4" w14:textId="77777777" w:rsidR="0014469E" w:rsidRPr="00447250" w:rsidRDefault="0014469E" w:rsidP="0014469E">
      <w:pPr>
        <w:jc w:val="both"/>
        <w:rPr>
          <w:rFonts w:ascii="Arial" w:hAnsi="Arial"/>
          <w:sz w:val="20"/>
          <w:szCs w:val="20"/>
        </w:rPr>
      </w:pPr>
    </w:p>
    <w:p w14:paraId="1D97B883" w14:textId="77777777" w:rsidR="0014469E" w:rsidRPr="00447250" w:rsidRDefault="0014469E" w:rsidP="0014469E">
      <w:pPr>
        <w:jc w:val="both"/>
        <w:rPr>
          <w:rFonts w:ascii="Arial" w:hAnsi="Arial"/>
          <w:sz w:val="20"/>
          <w:szCs w:val="20"/>
        </w:rPr>
      </w:pPr>
      <w:r w:rsidRPr="00447250">
        <w:rPr>
          <w:rFonts w:ascii="Arial" w:hAnsi="Arial"/>
          <w:sz w:val="20"/>
          <w:szCs w:val="20"/>
        </w:rPr>
        <w:t xml:space="preserve">Evropska komisija je predstavila novo strategijo za standardizacijo katere namen je okrepiti svetovno konkurenčnost EU, hkrati pa omogočiti zeleno in digitalno gospodarstvo ter v tehnološke aplikacije vpeti demokratične vrednote. </w:t>
      </w:r>
    </w:p>
    <w:p w14:paraId="608E3335" w14:textId="77777777" w:rsidR="0014469E" w:rsidRPr="00447250" w:rsidRDefault="0014469E" w:rsidP="0014469E">
      <w:pPr>
        <w:jc w:val="both"/>
        <w:rPr>
          <w:rFonts w:ascii="Arial" w:hAnsi="Arial"/>
          <w:sz w:val="20"/>
          <w:szCs w:val="20"/>
        </w:rPr>
      </w:pPr>
    </w:p>
    <w:p w14:paraId="4A4F6C3E" w14:textId="77777777" w:rsidR="0014469E" w:rsidRPr="00447250" w:rsidRDefault="0014469E" w:rsidP="0014469E">
      <w:pPr>
        <w:jc w:val="both"/>
        <w:rPr>
          <w:rFonts w:ascii="Arial" w:hAnsi="Arial"/>
          <w:sz w:val="20"/>
          <w:szCs w:val="20"/>
        </w:rPr>
      </w:pPr>
      <w:r w:rsidRPr="00447250">
        <w:rPr>
          <w:rFonts w:ascii="Arial" w:hAnsi="Arial"/>
          <w:sz w:val="20"/>
          <w:szCs w:val="20"/>
        </w:rPr>
        <w:t>Več:</w:t>
      </w:r>
    </w:p>
    <w:p w14:paraId="63F86741" w14:textId="77777777" w:rsidR="0014469E" w:rsidRPr="00447250" w:rsidRDefault="0014469E" w:rsidP="0014469E">
      <w:pPr>
        <w:jc w:val="both"/>
        <w:rPr>
          <w:rFonts w:ascii="Arial" w:hAnsi="Arial"/>
          <w:sz w:val="20"/>
          <w:szCs w:val="20"/>
        </w:rPr>
      </w:pPr>
      <w:hyperlink r:id="rId7" w:history="1">
        <w:r w:rsidRPr="00447250">
          <w:rPr>
            <w:rStyle w:val="Hyperlink"/>
            <w:rFonts w:ascii="Arial" w:hAnsi="Arial"/>
            <w:sz w:val="20"/>
            <w:szCs w:val="20"/>
          </w:rPr>
          <w:t>Strategija EU za standardizacijo</w:t>
        </w:r>
      </w:hyperlink>
    </w:p>
    <w:p w14:paraId="4B9E158F" w14:textId="77777777" w:rsidR="0014469E" w:rsidRPr="00447250" w:rsidRDefault="0014469E" w:rsidP="0014469E">
      <w:pPr>
        <w:jc w:val="both"/>
        <w:rPr>
          <w:rFonts w:ascii="Arial" w:hAnsi="Arial"/>
          <w:sz w:val="20"/>
          <w:szCs w:val="20"/>
        </w:rPr>
      </w:pPr>
      <w:r w:rsidRPr="00447250">
        <w:rPr>
          <w:rFonts w:ascii="Arial" w:hAnsi="Arial"/>
          <w:sz w:val="20"/>
          <w:szCs w:val="20"/>
        </w:rPr>
        <w:t>in</w:t>
      </w:r>
    </w:p>
    <w:p w14:paraId="0AADECD7" w14:textId="77777777" w:rsidR="0014469E" w:rsidRPr="00447250" w:rsidRDefault="0014469E" w:rsidP="0014469E">
      <w:pPr>
        <w:jc w:val="both"/>
        <w:rPr>
          <w:rFonts w:ascii="Arial" w:hAnsi="Arial"/>
          <w:sz w:val="20"/>
          <w:szCs w:val="20"/>
        </w:rPr>
      </w:pPr>
      <w:hyperlink r:id="rId8" w:history="1">
        <w:r w:rsidRPr="00447250">
          <w:rPr>
            <w:rStyle w:val="Hyperlink"/>
            <w:rFonts w:ascii="Arial" w:hAnsi="Arial"/>
            <w:sz w:val="20"/>
            <w:szCs w:val="20"/>
          </w:rPr>
          <w:t>Predlog spremembe uredbe o standardizaciji</w:t>
        </w:r>
      </w:hyperlink>
    </w:p>
    <w:p w14:paraId="4D639812" w14:textId="77777777" w:rsidR="0014469E" w:rsidRPr="00447250" w:rsidRDefault="0014469E" w:rsidP="0014469E">
      <w:pPr>
        <w:jc w:val="both"/>
        <w:rPr>
          <w:rFonts w:ascii="Arial" w:hAnsi="Arial"/>
          <w:sz w:val="20"/>
          <w:szCs w:val="20"/>
        </w:rPr>
      </w:pPr>
      <w:r w:rsidRPr="00447250">
        <w:rPr>
          <w:rFonts w:ascii="Arial" w:hAnsi="Arial"/>
          <w:sz w:val="20"/>
          <w:szCs w:val="20"/>
        </w:rPr>
        <w:t>in</w:t>
      </w:r>
    </w:p>
    <w:p w14:paraId="00CDCB93" w14:textId="77777777" w:rsidR="0014469E" w:rsidRPr="00447250" w:rsidRDefault="0014469E" w:rsidP="0014469E">
      <w:pPr>
        <w:jc w:val="both"/>
        <w:rPr>
          <w:rFonts w:ascii="Arial" w:hAnsi="Arial"/>
          <w:sz w:val="20"/>
          <w:szCs w:val="20"/>
        </w:rPr>
      </w:pPr>
      <w:hyperlink r:id="rId9" w:history="1">
        <w:r w:rsidRPr="00447250">
          <w:rPr>
            <w:rStyle w:val="Hyperlink"/>
            <w:rFonts w:ascii="Arial" w:hAnsi="Arial"/>
            <w:sz w:val="20"/>
            <w:szCs w:val="20"/>
          </w:rPr>
          <w:t>Poročilo o izvajanju uredbe o standardizaciji</w:t>
        </w:r>
      </w:hyperlink>
    </w:p>
    <w:p w14:paraId="7207827E" w14:textId="77777777" w:rsidR="0014469E" w:rsidRPr="00447250" w:rsidRDefault="0014469E" w:rsidP="0014469E">
      <w:pPr>
        <w:jc w:val="both"/>
        <w:rPr>
          <w:rFonts w:ascii="Arial" w:hAnsi="Arial"/>
          <w:sz w:val="20"/>
          <w:szCs w:val="20"/>
        </w:rPr>
      </w:pPr>
      <w:r w:rsidRPr="00447250">
        <w:rPr>
          <w:rFonts w:ascii="Arial" w:hAnsi="Arial"/>
          <w:sz w:val="20"/>
          <w:szCs w:val="20"/>
        </w:rPr>
        <w:t>in</w:t>
      </w:r>
    </w:p>
    <w:p w14:paraId="3A261874" w14:textId="7600195A" w:rsidR="001E0747" w:rsidRDefault="0014469E" w:rsidP="0014469E">
      <w:pPr>
        <w:rPr>
          <w:rStyle w:val="Hyperlink"/>
          <w:rFonts w:ascii="Arial" w:hAnsi="Arial"/>
          <w:sz w:val="20"/>
          <w:szCs w:val="20"/>
        </w:rPr>
      </w:pPr>
      <w:hyperlink r:id="rId10" w:history="1">
        <w:r w:rsidRPr="00447250">
          <w:rPr>
            <w:rStyle w:val="Hyperlink"/>
            <w:rFonts w:ascii="Arial" w:hAnsi="Arial"/>
            <w:sz w:val="20"/>
            <w:szCs w:val="20"/>
          </w:rPr>
          <w:t>Letni program dela Unije za evropsko standardizacijo za leto 2022</w:t>
        </w:r>
      </w:hyperlink>
    </w:p>
    <w:p w14:paraId="1F677650" w14:textId="07BD58F2" w:rsidR="0014469E" w:rsidRDefault="0014469E" w:rsidP="0014469E"/>
    <w:p w14:paraId="45AD66F3" w14:textId="4C999E08" w:rsidR="0014469E" w:rsidRPr="005D5EFA" w:rsidRDefault="0014469E" w:rsidP="0014469E">
      <w:pPr>
        <w:jc w:val="both"/>
        <w:rPr>
          <w:rFonts w:ascii="Arial" w:hAnsi="Arial"/>
          <w:b/>
          <w:bCs/>
          <w:color w:val="002060"/>
        </w:rPr>
      </w:pPr>
      <w:r w:rsidRPr="005D5EFA">
        <w:rPr>
          <w:rFonts w:ascii="Arial" w:hAnsi="Arial"/>
          <w:b/>
          <w:bCs/>
          <w:color w:val="002060"/>
        </w:rPr>
        <w:t xml:space="preserve">Posvetovanje o inovativnih rešitvah za </w:t>
      </w:r>
      <w:proofErr w:type="spellStart"/>
      <w:r w:rsidRPr="005D5EFA">
        <w:rPr>
          <w:rFonts w:ascii="Arial" w:hAnsi="Arial"/>
          <w:b/>
          <w:bCs/>
          <w:color w:val="002060"/>
        </w:rPr>
        <w:t>drone</w:t>
      </w:r>
      <w:proofErr w:type="spellEnd"/>
      <w:r w:rsidRPr="005D5EFA">
        <w:rPr>
          <w:rFonts w:ascii="Arial" w:hAnsi="Arial"/>
          <w:b/>
          <w:bCs/>
          <w:color w:val="002060"/>
        </w:rPr>
        <w:t xml:space="preserve"> za spremljanje kmetijstva in ribištva</w:t>
      </w:r>
    </w:p>
    <w:p w14:paraId="3C507C90" w14:textId="76C76A1D" w:rsidR="005D5EFA" w:rsidRDefault="005D5EFA" w:rsidP="0014469E">
      <w:pPr>
        <w:jc w:val="both"/>
        <w:rPr>
          <w:rFonts w:ascii="Arial" w:hAnsi="Arial"/>
          <w:sz w:val="20"/>
          <w:szCs w:val="20"/>
        </w:rPr>
      </w:pPr>
    </w:p>
    <w:p w14:paraId="5B3ED784" w14:textId="4A5D6820" w:rsidR="005D5EFA" w:rsidRPr="00447250" w:rsidRDefault="005D5EFA" w:rsidP="0014469E">
      <w:pPr>
        <w:jc w:val="both"/>
        <w:rPr>
          <w:rFonts w:ascii="Arial" w:hAnsi="Arial"/>
          <w:sz w:val="20"/>
          <w:szCs w:val="20"/>
        </w:rPr>
      </w:pPr>
      <w:r>
        <w:rPr>
          <w:noProof/>
        </w:rPr>
        <w:drawing>
          <wp:inline distT="0" distB="0" distL="0" distR="0" wp14:anchorId="3041F3B9" wp14:editId="04DA6B92">
            <wp:extent cx="2540000" cy="1028700"/>
            <wp:effectExtent l="0" t="0" r="0" b="0"/>
            <wp:docPr id="5" name="Picture 5" descr="A drone flying in the sk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drone flying in the sky&#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0" cy="1028700"/>
                    </a:xfrm>
                    <a:prstGeom prst="rect">
                      <a:avLst/>
                    </a:prstGeom>
                    <a:noFill/>
                    <a:ln>
                      <a:noFill/>
                    </a:ln>
                  </pic:spPr>
                </pic:pic>
              </a:graphicData>
            </a:graphic>
          </wp:inline>
        </w:drawing>
      </w:r>
    </w:p>
    <w:p w14:paraId="28534F6C" w14:textId="77777777" w:rsidR="0014469E" w:rsidRPr="00447250" w:rsidRDefault="0014469E" w:rsidP="0014469E">
      <w:pPr>
        <w:jc w:val="both"/>
        <w:rPr>
          <w:rFonts w:ascii="Arial" w:hAnsi="Arial"/>
          <w:sz w:val="20"/>
          <w:szCs w:val="20"/>
        </w:rPr>
      </w:pPr>
    </w:p>
    <w:p w14:paraId="1F1A9F3A" w14:textId="77777777" w:rsidR="0014469E" w:rsidRPr="00447250" w:rsidRDefault="0014469E" w:rsidP="0014469E">
      <w:pPr>
        <w:jc w:val="both"/>
        <w:rPr>
          <w:rFonts w:ascii="Arial" w:hAnsi="Arial"/>
          <w:sz w:val="20"/>
          <w:szCs w:val="20"/>
        </w:rPr>
      </w:pPr>
      <w:r w:rsidRPr="00447250">
        <w:rPr>
          <w:rFonts w:ascii="Arial" w:hAnsi="Arial"/>
          <w:sz w:val="20"/>
          <w:szCs w:val="20"/>
        </w:rPr>
        <w:t xml:space="preserve">Andaluzijska agencija za upravljanje kmetijstva in ribištva vabi udeležence na trgu, da se udeležijo odprtega tržnega posvetovanja za prihodnje </w:t>
      </w:r>
      <w:proofErr w:type="spellStart"/>
      <w:r w:rsidRPr="00447250">
        <w:rPr>
          <w:rFonts w:ascii="Arial" w:hAnsi="Arial"/>
          <w:sz w:val="20"/>
          <w:szCs w:val="20"/>
        </w:rPr>
        <w:t>predkomercialno</w:t>
      </w:r>
      <w:proofErr w:type="spellEnd"/>
      <w:r w:rsidRPr="00447250">
        <w:rPr>
          <w:rFonts w:ascii="Arial" w:hAnsi="Arial"/>
          <w:sz w:val="20"/>
          <w:szCs w:val="20"/>
        </w:rPr>
        <w:t xml:space="preserve"> javno naročilo o </w:t>
      </w:r>
      <w:r w:rsidRPr="00447250">
        <w:rPr>
          <w:rFonts w:ascii="Arial" w:hAnsi="Arial"/>
          <w:sz w:val="20"/>
          <w:szCs w:val="20"/>
        </w:rPr>
        <w:t xml:space="preserve">inovativnih rešitvah za </w:t>
      </w:r>
      <w:proofErr w:type="spellStart"/>
      <w:r w:rsidRPr="00447250">
        <w:rPr>
          <w:rFonts w:ascii="Arial" w:hAnsi="Arial"/>
          <w:sz w:val="20"/>
          <w:szCs w:val="20"/>
        </w:rPr>
        <w:t>drone</w:t>
      </w:r>
      <w:proofErr w:type="spellEnd"/>
      <w:r w:rsidRPr="00447250">
        <w:rPr>
          <w:rFonts w:ascii="Arial" w:hAnsi="Arial"/>
          <w:sz w:val="20"/>
          <w:szCs w:val="20"/>
        </w:rPr>
        <w:t xml:space="preserve"> za spremljanje kmetijstva in ribištva. Odprto tržno posvetovanje </w:t>
      </w:r>
      <w:proofErr w:type="spellStart"/>
      <w:r w:rsidRPr="00447250">
        <w:rPr>
          <w:rFonts w:ascii="Arial" w:hAnsi="Arial"/>
          <w:sz w:val="20"/>
          <w:szCs w:val="20"/>
        </w:rPr>
        <w:t>orgsanizira</w:t>
      </w:r>
      <w:proofErr w:type="spellEnd"/>
      <w:r w:rsidRPr="00447250">
        <w:rPr>
          <w:rFonts w:ascii="Arial" w:hAnsi="Arial"/>
          <w:sz w:val="20"/>
          <w:szCs w:val="20"/>
        </w:rPr>
        <w:t xml:space="preserve"> v obliki delavnice (17. februarja v Malagi) in spletnega vprašalnika, ki ga je treba izpolniti do 31. marca 2022.</w:t>
      </w:r>
    </w:p>
    <w:p w14:paraId="5B5B485D" w14:textId="77777777" w:rsidR="0014469E" w:rsidRPr="00447250" w:rsidRDefault="0014469E" w:rsidP="0014469E">
      <w:pPr>
        <w:jc w:val="both"/>
        <w:rPr>
          <w:rFonts w:ascii="Arial" w:hAnsi="Arial"/>
          <w:sz w:val="20"/>
          <w:szCs w:val="20"/>
        </w:rPr>
      </w:pPr>
    </w:p>
    <w:p w14:paraId="57F3FEE3" w14:textId="77777777" w:rsidR="0014469E" w:rsidRPr="00447250" w:rsidRDefault="0014469E" w:rsidP="0014469E">
      <w:pPr>
        <w:jc w:val="both"/>
        <w:rPr>
          <w:rFonts w:ascii="Arial" w:hAnsi="Arial"/>
          <w:sz w:val="20"/>
          <w:szCs w:val="20"/>
        </w:rPr>
      </w:pPr>
      <w:r w:rsidRPr="00447250">
        <w:rPr>
          <w:rFonts w:ascii="Arial" w:hAnsi="Arial"/>
          <w:sz w:val="20"/>
          <w:szCs w:val="20"/>
        </w:rPr>
        <w:t>Več:</w:t>
      </w:r>
    </w:p>
    <w:p w14:paraId="468621E8" w14:textId="77777777" w:rsidR="0014469E" w:rsidRPr="00447250" w:rsidRDefault="0014469E" w:rsidP="0014469E">
      <w:pPr>
        <w:jc w:val="both"/>
        <w:rPr>
          <w:rFonts w:ascii="Arial" w:hAnsi="Arial"/>
          <w:sz w:val="20"/>
          <w:szCs w:val="20"/>
        </w:rPr>
      </w:pPr>
      <w:hyperlink r:id="rId12" w:history="1">
        <w:r w:rsidRPr="00447250">
          <w:rPr>
            <w:rStyle w:val="Hyperlink"/>
            <w:rFonts w:ascii="Arial" w:hAnsi="Arial"/>
            <w:sz w:val="20"/>
            <w:szCs w:val="20"/>
          </w:rPr>
          <w:t>Sporočilo s podatki o posvetovanju</w:t>
        </w:r>
      </w:hyperlink>
    </w:p>
    <w:p w14:paraId="33267E67" w14:textId="66CC0032" w:rsidR="0014469E" w:rsidRDefault="0014469E" w:rsidP="0014469E"/>
    <w:p w14:paraId="4A451DAC" w14:textId="7C707447" w:rsidR="0014469E" w:rsidRPr="005D5EFA" w:rsidRDefault="0014469E" w:rsidP="0014469E">
      <w:pPr>
        <w:jc w:val="both"/>
        <w:rPr>
          <w:rFonts w:ascii="Arial" w:hAnsi="Arial"/>
          <w:b/>
          <w:bCs/>
          <w:color w:val="002060"/>
        </w:rPr>
      </w:pPr>
      <w:r w:rsidRPr="005D5EFA">
        <w:rPr>
          <w:rFonts w:ascii="Arial" w:hAnsi="Arial"/>
          <w:b/>
          <w:bCs/>
          <w:color w:val="002060"/>
        </w:rPr>
        <w:t>Objavljeni so novi podatki o likvidnosti obveznic</w:t>
      </w:r>
    </w:p>
    <w:p w14:paraId="0129D423" w14:textId="3CBBFE6F" w:rsidR="005D5EFA" w:rsidRDefault="005D5EFA" w:rsidP="0014469E">
      <w:pPr>
        <w:jc w:val="both"/>
        <w:rPr>
          <w:rFonts w:ascii="Arial" w:hAnsi="Arial"/>
          <w:sz w:val="20"/>
          <w:szCs w:val="20"/>
        </w:rPr>
      </w:pPr>
    </w:p>
    <w:p w14:paraId="131CB940" w14:textId="79C731B5" w:rsidR="005D5EFA" w:rsidRPr="00447250" w:rsidRDefault="005D5EFA" w:rsidP="0014469E">
      <w:pPr>
        <w:jc w:val="both"/>
        <w:rPr>
          <w:rFonts w:ascii="Arial" w:hAnsi="Arial"/>
          <w:sz w:val="20"/>
          <w:szCs w:val="20"/>
        </w:rPr>
      </w:pPr>
      <w:r>
        <w:rPr>
          <w:noProof/>
        </w:rPr>
        <w:drawing>
          <wp:inline distT="0" distB="0" distL="0" distR="0" wp14:anchorId="48232434" wp14:editId="07524253">
            <wp:extent cx="2540000" cy="1022350"/>
            <wp:effectExtent l="0" t="0" r="0" b="6350"/>
            <wp:docPr id="6" name="Picture 6"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websit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58901F22" w14:textId="77777777" w:rsidR="0014469E" w:rsidRPr="00447250" w:rsidRDefault="0014469E" w:rsidP="0014469E">
      <w:pPr>
        <w:jc w:val="both"/>
        <w:rPr>
          <w:rFonts w:ascii="Arial" w:hAnsi="Arial"/>
          <w:sz w:val="20"/>
          <w:szCs w:val="20"/>
        </w:rPr>
      </w:pPr>
    </w:p>
    <w:p w14:paraId="2C07386A" w14:textId="77777777" w:rsidR="0014469E" w:rsidRPr="00447250" w:rsidRDefault="0014469E" w:rsidP="0014469E">
      <w:pPr>
        <w:jc w:val="both"/>
        <w:rPr>
          <w:rFonts w:ascii="Arial" w:hAnsi="Arial"/>
          <w:sz w:val="20"/>
          <w:szCs w:val="20"/>
        </w:rPr>
      </w:pPr>
      <w:r w:rsidRPr="00447250">
        <w:rPr>
          <w:rFonts w:ascii="Arial" w:hAnsi="Arial"/>
          <w:sz w:val="20"/>
          <w:szCs w:val="20"/>
        </w:rPr>
        <w:t xml:space="preserve">Evropski organ za vrednostne papirje in trge (ESMA) je objavil nove podatke o obveznicah po katerih trenutno za 513 likvidnih obveznic veljajo zahteve preglednosti </w:t>
      </w:r>
      <w:proofErr w:type="spellStart"/>
      <w:r w:rsidRPr="00447250">
        <w:rPr>
          <w:rFonts w:ascii="Arial" w:hAnsi="Arial"/>
          <w:sz w:val="20"/>
          <w:szCs w:val="20"/>
        </w:rPr>
        <w:t>MiFID</w:t>
      </w:r>
      <w:proofErr w:type="spellEnd"/>
      <w:r w:rsidRPr="00447250">
        <w:rPr>
          <w:rFonts w:ascii="Arial" w:hAnsi="Arial"/>
          <w:sz w:val="20"/>
          <w:szCs w:val="20"/>
        </w:rPr>
        <w:t xml:space="preserve"> II.</w:t>
      </w:r>
    </w:p>
    <w:p w14:paraId="2C0C04EA" w14:textId="77777777" w:rsidR="0014469E" w:rsidRPr="00447250" w:rsidRDefault="0014469E" w:rsidP="0014469E">
      <w:pPr>
        <w:jc w:val="both"/>
        <w:rPr>
          <w:rFonts w:ascii="Arial" w:hAnsi="Arial"/>
          <w:sz w:val="20"/>
          <w:szCs w:val="20"/>
        </w:rPr>
      </w:pPr>
    </w:p>
    <w:p w14:paraId="642546A5" w14:textId="77777777" w:rsidR="0014469E" w:rsidRPr="00447250" w:rsidRDefault="0014469E" w:rsidP="0014469E">
      <w:pPr>
        <w:jc w:val="both"/>
        <w:rPr>
          <w:rFonts w:ascii="Arial" w:hAnsi="Arial"/>
          <w:sz w:val="20"/>
          <w:szCs w:val="20"/>
        </w:rPr>
      </w:pPr>
      <w:r w:rsidRPr="00447250">
        <w:rPr>
          <w:rFonts w:ascii="Arial" w:hAnsi="Arial"/>
          <w:sz w:val="20"/>
          <w:szCs w:val="20"/>
        </w:rPr>
        <w:t>Več:</w:t>
      </w:r>
    </w:p>
    <w:p w14:paraId="05140648" w14:textId="77777777" w:rsidR="0014469E" w:rsidRPr="00447250" w:rsidRDefault="0014469E" w:rsidP="0014469E">
      <w:pPr>
        <w:jc w:val="both"/>
        <w:rPr>
          <w:rFonts w:ascii="Arial" w:hAnsi="Arial"/>
          <w:sz w:val="20"/>
          <w:szCs w:val="20"/>
        </w:rPr>
      </w:pPr>
      <w:hyperlink r:id="rId14" w:history="1">
        <w:r w:rsidRPr="00447250">
          <w:rPr>
            <w:rStyle w:val="Hyperlink"/>
            <w:rFonts w:ascii="Arial" w:hAnsi="Arial"/>
            <w:sz w:val="20"/>
            <w:szCs w:val="20"/>
          </w:rPr>
          <w:t>Sporočilo s povezavo na objavo</w:t>
        </w:r>
      </w:hyperlink>
    </w:p>
    <w:p w14:paraId="2056CA5E" w14:textId="3C9E31FE" w:rsidR="0014469E" w:rsidRDefault="0014469E" w:rsidP="0014469E"/>
    <w:p w14:paraId="7DFB1634" w14:textId="69CAD880" w:rsidR="0014469E" w:rsidRPr="005D5EFA" w:rsidRDefault="0014469E" w:rsidP="0014469E">
      <w:pPr>
        <w:jc w:val="both"/>
        <w:rPr>
          <w:rFonts w:ascii="Arial" w:hAnsi="Arial"/>
          <w:b/>
          <w:bCs/>
          <w:color w:val="002060"/>
        </w:rPr>
      </w:pPr>
      <w:r w:rsidRPr="005D5EFA">
        <w:rPr>
          <w:rFonts w:ascii="Arial" w:hAnsi="Arial"/>
          <w:b/>
          <w:bCs/>
          <w:color w:val="002060"/>
        </w:rPr>
        <w:t>Evropska komisija predlaga evropski akt o čipih</w:t>
      </w:r>
    </w:p>
    <w:p w14:paraId="25E08822" w14:textId="31D34DD4" w:rsidR="005D5EFA" w:rsidRDefault="005D5EFA" w:rsidP="0014469E">
      <w:pPr>
        <w:jc w:val="both"/>
        <w:rPr>
          <w:rFonts w:ascii="Arial" w:hAnsi="Arial"/>
          <w:sz w:val="20"/>
          <w:szCs w:val="20"/>
        </w:rPr>
      </w:pPr>
    </w:p>
    <w:p w14:paraId="125D90D1" w14:textId="2D1C72C4" w:rsidR="005D5EFA" w:rsidRPr="006F518D" w:rsidRDefault="005D5EFA" w:rsidP="0014469E">
      <w:pPr>
        <w:jc w:val="both"/>
        <w:rPr>
          <w:rFonts w:ascii="Arial" w:hAnsi="Arial"/>
          <w:sz w:val="20"/>
          <w:szCs w:val="20"/>
        </w:rPr>
      </w:pPr>
      <w:r>
        <w:rPr>
          <w:noProof/>
        </w:rPr>
        <w:drawing>
          <wp:inline distT="0" distB="0" distL="0" distR="0" wp14:anchorId="5E505AE5" wp14:editId="17798CD5">
            <wp:extent cx="2540000" cy="1022350"/>
            <wp:effectExtent l="0" t="0" r="0" b="6350"/>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248FB6F6" w14:textId="77777777" w:rsidR="0014469E" w:rsidRPr="006F518D" w:rsidRDefault="0014469E" w:rsidP="0014469E">
      <w:pPr>
        <w:jc w:val="both"/>
        <w:rPr>
          <w:rFonts w:ascii="Arial" w:hAnsi="Arial"/>
          <w:sz w:val="20"/>
          <w:szCs w:val="20"/>
        </w:rPr>
      </w:pPr>
    </w:p>
    <w:p w14:paraId="386ACEC3" w14:textId="77777777" w:rsidR="0014469E" w:rsidRPr="006F518D" w:rsidRDefault="0014469E" w:rsidP="0014469E">
      <w:pPr>
        <w:jc w:val="both"/>
        <w:rPr>
          <w:rFonts w:ascii="Arial" w:hAnsi="Arial"/>
          <w:sz w:val="20"/>
          <w:szCs w:val="20"/>
        </w:rPr>
      </w:pPr>
      <w:r w:rsidRPr="006F518D">
        <w:rPr>
          <w:rFonts w:ascii="Arial" w:hAnsi="Arial"/>
          <w:sz w:val="20"/>
          <w:szCs w:val="20"/>
        </w:rPr>
        <w:t xml:space="preserve">Evropska komisija je pripravila predlog za evropski akt o čipih, ki naj bi zagotovil, da bo EU imela potrebna orodja, spretnosti in tehnološke zmogljivosti, da bo lahko zagotovila oskrbo s polprevodniki. Hkrati je objavila tudi </w:t>
      </w:r>
      <w:r w:rsidRPr="006F518D">
        <w:rPr>
          <w:rFonts w:ascii="Arial" w:hAnsi="Arial"/>
          <w:sz w:val="20"/>
          <w:szCs w:val="20"/>
        </w:rPr>
        <w:lastRenderedPageBreak/>
        <w:t>ciljno usmerjen vprašalnik za deležnike, da bi zbrala informacije o sedanjem in prihodnjem povpraševanju po čipih in rezinah. Odgovori iz tega vprašalnika naj bi pomagali bolje razumeti, kako pomanjkanje čipov vpliva na evropsko industrijo.</w:t>
      </w:r>
    </w:p>
    <w:p w14:paraId="748AEF0B" w14:textId="77777777" w:rsidR="0014469E" w:rsidRPr="006F518D" w:rsidRDefault="0014469E" w:rsidP="0014469E">
      <w:pPr>
        <w:jc w:val="both"/>
        <w:rPr>
          <w:rFonts w:ascii="Arial" w:hAnsi="Arial"/>
          <w:sz w:val="20"/>
          <w:szCs w:val="20"/>
        </w:rPr>
      </w:pPr>
    </w:p>
    <w:p w14:paraId="110181E5" w14:textId="77777777" w:rsidR="0014469E" w:rsidRPr="006F518D" w:rsidRDefault="0014469E" w:rsidP="0014469E">
      <w:pPr>
        <w:jc w:val="both"/>
        <w:rPr>
          <w:rFonts w:ascii="Arial" w:hAnsi="Arial"/>
          <w:sz w:val="20"/>
          <w:szCs w:val="20"/>
        </w:rPr>
      </w:pPr>
      <w:r w:rsidRPr="006F518D">
        <w:rPr>
          <w:rFonts w:ascii="Arial" w:hAnsi="Arial"/>
          <w:sz w:val="20"/>
          <w:szCs w:val="20"/>
        </w:rPr>
        <w:t>Več:</w:t>
      </w:r>
    </w:p>
    <w:p w14:paraId="01E0DC47" w14:textId="77777777" w:rsidR="0014469E" w:rsidRPr="006F518D" w:rsidRDefault="0014469E" w:rsidP="0014469E">
      <w:pPr>
        <w:jc w:val="both"/>
        <w:rPr>
          <w:rFonts w:ascii="Arial" w:hAnsi="Arial"/>
          <w:sz w:val="20"/>
          <w:szCs w:val="20"/>
        </w:rPr>
      </w:pPr>
      <w:hyperlink r:id="rId16" w:history="1">
        <w:r w:rsidRPr="006F518D">
          <w:rPr>
            <w:rStyle w:val="Hyperlink"/>
            <w:rFonts w:ascii="Arial" w:hAnsi="Arial"/>
            <w:sz w:val="20"/>
            <w:szCs w:val="20"/>
          </w:rPr>
          <w:t>Predlog akta o čipih</w:t>
        </w:r>
      </w:hyperlink>
    </w:p>
    <w:p w14:paraId="2A6F381B" w14:textId="77777777" w:rsidR="0014469E" w:rsidRPr="006F518D" w:rsidRDefault="0014469E" w:rsidP="0014469E">
      <w:pPr>
        <w:jc w:val="both"/>
        <w:rPr>
          <w:rFonts w:ascii="Arial" w:hAnsi="Arial"/>
          <w:sz w:val="20"/>
          <w:szCs w:val="20"/>
        </w:rPr>
      </w:pPr>
      <w:r w:rsidRPr="006F518D">
        <w:rPr>
          <w:rFonts w:ascii="Arial" w:hAnsi="Arial"/>
          <w:sz w:val="20"/>
          <w:szCs w:val="20"/>
        </w:rPr>
        <w:t>in</w:t>
      </w:r>
    </w:p>
    <w:p w14:paraId="07C83304" w14:textId="77777777" w:rsidR="0014469E" w:rsidRPr="006F518D" w:rsidRDefault="0014469E" w:rsidP="0014469E">
      <w:pPr>
        <w:jc w:val="both"/>
        <w:rPr>
          <w:rFonts w:ascii="Arial" w:hAnsi="Arial"/>
          <w:sz w:val="20"/>
          <w:szCs w:val="20"/>
        </w:rPr>
      </w:pPr>
      <w:hyperlink r:id="rId17" w:history="1">
        <w:r w:rsidRPr="006F518D">
          <w:rPr>
            <w:rStyle w:val="Hyperlink"/>
            <w:rFonts w:ascii="Arial" w:hAnsi="Arial"/>
            <w:sz w:val="20"/>
            <w:szCs w:val="20"/>
          </w:rPr>
          <w:t>Industrijsko zavezništvo za procesorje in polprevodnike</w:t>
        </w:r>
      </w:hyperlink>
    </w:p>
    <w:p w14:paraId="2659C458" w14:textId="77777777" w:rsidR="0014469E" w:rsidRPr="006F518D" w:rsidRDefault="0014469E" w:rsidP="0014469E">
      <w:pPr>
        <w:jc w:val="both"/>
        <w:rPr>
          <w:rFonts w:ascii="Arial" w:hAnsi="Arial"/>
          <w:sz w:val="20"/>
          <w:szCs w:val="20"/>
        </w:rPr>
      </w:pPr>
      <w:r w:rsidRPr="006F518D">
        <w:rPr>
          <w:rFonts w:ascii="Arial" w:hAnsi="Arial"/>
          <w:sz w:val="20"/>
          <w:szCs w:val="20"/>
        </w:rPr>
        <w:t>in</w:t>
      </w:r>
    </w:p>
    <w:p w14:paraId="5CCE3E08" w14:textId="77777777" w:rsidR="0014469E" w:rsidRPr="006F518D" w:rsidRDefault="0014469E" w:rsidP="0014469E">
      <w:pPr>
        <w:jc w:val="both"/>
        <w:rPr>
          <w:rFonts w:ascii="Arial" w:hAnsi="Arial"/>
          <w:sz w:val="20"/>
          <w:szCs w:val="20"/>
        </w:rPr>
      </w:pPr>
      <w:hyperlink r:id="rId18" w:history="1">
        <w:r w:rsidRPr="006F518D">
          <w:rPr>
            <w:rStyle w:val="Hyperlink"/>
            <w:rFonts w:ascii="Arial" w:hAnsi="Arial"/>
            <w:sz w:val="20"/>
            <w:szCs w:val="20"/>
          </w:rPr>
          <w:t>Vprašalnik</w:t>
        </w:r>
      </w:hyperlink>
    </w:p>
    <w:p w14:paraId="6F2E9F7B" w14:textId="77777777" w:rsidR="0014469E" w:rsidRPr="006F518D" w:rsidRDefault="0014469E" w:rsidP="0014469E">
      <w:pPr>
        <w:jc w:val="both"/>
        <w:rPr>
          <w:rFonts w:ascii="Arial" w:hAnsi="Arial"/>
          <w:sz w:val="20"/>
          <w:szCs w:val="20"/>
        </w:rPr>
      </w:pPr>
    </w:p>
    <w:p w14:paraId="6AA92512" w14:textId="376B8333" w:rsidR="0014469E" w:rsidRPr="005D5EFA" w:rsidRDefault="0014469E" w:rsidP="0014469E">
      <w:pPr>
        <w:jc w:val="both"/>
        <w:rPr>
          <w:rFonts w:ascii="Arial" w:hAnsi="Arial"/>
          <w:b/>
          <w:bCs/>
          <w:color w:val="002060"/>
        </w:rPr>
      </w:pPr>
      <w:r w:rsidRPr="005D5EFA">
        <w:rPr>
          <w:rFonts w:ascii="Arial" w:hAnsi="Arial"/>
          <w:b/>
          <w:bCs/>
          <w:color w:val="002060"/>
        </w:rPr>
        <w:t>Sodba glede premestitve invalidnega delavca na drugo delovno mesto</w:t>
      </w:r>
    </w:p>
    <w:p w14:paraId="329505A2" w14:textId="1A05E3FB" w:rsidR="005D5EFA" w:rsidRDefault="005D5EFA" w:rsidP="0014469E">
      <w:pPr>
        <w:jc w:val="both"/>
        <w:rPr>
          <w:rFonts w:ascii="Arial" w:hAnsi="Arial"/>
          <w:sz w:val="20"/>
          <w:szCs w:val="20"/>
        </w:rPr>
      </w:pPr>
    </w:p>
    <w:p w14:paraId="6F07DCA3" w14:textId="0225427D" w:rsidR="005D5EFA" w:rsidRPr="006F518D" w:rsidRDefault="005D5EFA" w:rsidP="0014469E">
      <w:pPr>
        <w:jc w:val="both"/>
        <w:rPr>
          <w:rFonts w:ascii="Arial" w:hAnsi="Arial"/>
          <w:sz w:val="20"/>
          <w:szCs w:val="20"/>
        </w:rPr>
      </w:pPr>
      <w:r>
        <w:rPr>
          <w:noProof/>
        </w:rPr>
        <w:drawing>
          <wp:inline distT="0" distB="0" distL="0" distR="0" wp14:anchorId="79E5A0A1" wp14:editId="54E57779">
            <wp:extent cx="2540000" cy="1022350"/>
            <wp:effectExtent l="0" t="0" r="0" b="6350"/>
            <wp:docPr id="11" name="Picture 11" descr="A picture containing text, doll,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doll, toy&#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76001940" w14:textId="77777777" w:rsidR="0014469E" w:rsidRPr="006F518D" w:rsidRDefault="0014469E" w:rsidP="0014469E">
      <w:pPr>
        <w:jc w:val="both"/>
        <w:rPr>
          <w:rFonts w:ascii="Arial" w:hAnsi="Arial"/>
          <w:sz w:val="20"/>
          <w:szCs w:val="20"/>
        </w:rPr>
      </w:pPr>
    </w:p>
    <w:p w14:paraId="7CD593CC" w14:textId="77777777" w:rsidR="0014469E" w:rsidRPr="006F518D" w:rsidRDefault="0014469E" w:rsidP="0014469E">
      <w:pPr>
        <w:jc w:val="both"/>
        <w:rPr>
          <w:rFonts w:ascii="Arial" w:hAnsi="Arial"/>
          <w:sz w:val="20"/>
          <w:szCs w:val="20"/>
        </w:rPr>
      </w:pPr>
      <w:r w:rsidRPr="006F518D">
        <w:rPr>
          <w:rFonts w:ascii="Arial" w:hAnsi="Arial"/>
          <w:sz w:val="20"/>
          <w:szCs w:val="20"/>
        </w:rPr>
        <w:t>Invalidni delavec, vključno s tistim, ki opravlja poskusno dobo v okviru zaposlitve, za katerega je bilo ugotovljeno, da ni zmožen opravljati bistvenih nalog delovnega mesta, ki ga zaseda, je lahko upravičen do razporeditve na drugo delovno mesto, za katero je ustrezno usposobljen, zmožen in na razpolago, vendar pa tak ukrep ne sme nesorazmerno obremeniti delodajalca, je presodilo Sodišče EU.</w:t>
      </w:r>
    </w:p>
    <w:p w14:paraId="2893FA83" w14:textId="77777777" w:rsidR="0014469E" w:rsidRPr="006F518D" w:rsidRDefault="0014469E" w:rsidP="0014469E">
      <w:pPr>
        <w:jc w:val="both"/>
        <w:rPr>
          <w:rFonts w:ascii="Arial" w:hAnsi="Arial"/>
          <w:sz w:val="20"/>
          <w:szCs w:val="20"/>
        </w:rPr>
      </w:pPr>
    </w:p>
    <w:p w14:paraId="4FFE41BD" w14:textId="77777777" w:rsidR="0014469E" w:rsidRPr="006F518D" w:rsidRDefault="0014469E" w:rsidP="0014469E">
      <w:pPr>
        <w:jc w:val="both"/>
        <w:rPr>
          <w:rFonts w:ascii="Arial" w:hAnsi="Arial"/>
          <w:sz w:val="20"/>
          <w:szCs w:val="20"/>
        </w:rPr>
      </w:pPr>
      <w:r w:rsidRPr="006F518D">
        <w:rPr>
          <w:rFonts w:ascii="Arial" w:hAnsi="Arial"/>
          <w:sz w:val="20"/>
          <w:szCs w:val="20"/>
        </w:rPr>
        <w:t>Več:</w:t>
      </w:r>
    </w:p>
    <w:p w14:paraId="682CDACE" w14:textId="77777777" w:rsidR="0014469E" w:rsidRPr="006F518D" w:rsidRDefault="0014469E" w:rsidP="0014469E">
      <w:pPr>
        <w:jc w:val="both"/>
        <w:rPr>
          <w:rFonts w:ascii="Arial" w:hAnsi="Arial"/>
          <w:sz w:val="20"/>
          <w:szCs w:val="20"/>
        </w:rPr>
      </w:pPr>
      <w:hyperlink r:id="rId20" w:history="1">
        <w:r w:rsidRPr="006F518D">
          <w:rPr>
            <w:rStyle w:val="Hyperlink"/>
            <w:rFonts w:ascii="Arial" w:hAnsi="Arial"/>
            <w:sz w:val="20"/>
            <w:szCs w:val="20"/>
          </w:rPr>
          <w:t>Sodba</w:t>
        </w:r>
      </w:hyperlink>
    </w:p>
    <w:p w14:paraId="1BD3074D" w14:textId="77777777" w:rsidR="0014469E" w:rsidRPr="006F518D" w:rsidRDefault="0014469E" w:rsidP="0014469E">
      <w:pPr>
        <w:jc w:val="both"/>
        <w:rPr>
          <w:rFonts w:ascii="Arial" w:hAnsi="Arial"/>
          <w:sz w:val="20"/>
          <w:szCs w:val="20"/>
        </w:rPr>
      </w:pPr>
    </w:p>
    <w:p w14:paraId="09CBCF1F" w14:textId="60E97F4A" w:rsidR="0014469E" w:rsidRPr="005D5EFA" w:rsidRDefault="0014469E" w:rsidP="0014469E">
      <w:pPr>
        <w:jc w:val="both"/>
        <w:rPr>
          <w:rFonts w:ascii="Arial" w:hAnsi="Arial"/>
          <w:b/>
          <w:bCs/>
          <w:color w:val="002060"/>
        </w:rPr>
      </w:pPr>
      <w:r w:rsidRPr="005D5EFA">
        <w:rPr>
          <w:rFonts w:ascii="Arial" w:hAnsi="Arial"/>
          <w:b/>
          <w:bCs/>
          <w:color w:val="002060"/>
        </w:rPr>
        <w:t>Evropska komisija je podjetja pozvala k prostovoljni zavezi o trajnostni potrošnji</w:t>
      </w:r>
    </w:p>
    <w:p w14:paraId="78C5118C" w14:textId="3B3F15A1" w:rsidR="005D5EFA" w:rsidRDefault="005D5EFA" w:rsidP="0014469E">
      <w:pPr>
        <w:jc w:val="both"/>
        <w:rPr>
          <w:rFonts w:ascii="Arial" w:hAnsi="Arial"/>
          <w:sz w:val="20"/>
          <w:szCs w:val="20"/>
        </w:rPr>
      </w:pPr>
    </w:p>
    <w:p w14:paraId="7E2D9F5F" w14:textId="46BA6E92" w:rsidR="005D5EFA" w:rsidRPr="006F518D" w:rsidRDefault="005D5EFA" w:rsidP="0014469E">
      <w:pPr>
        <w:jc w:val="both"/>
        <w:rPr>
          <w:rFonts w:ascii="Arial" w:hAnsi="Arial"/>
          <w:sz w:val="20"/>
          <w:szCs w:val="20"/>
        </w:rPr>
      </w:pPr>
      <w:r>
        <w:rPr>
          <w:noProof/>
        </w:rPr>
        <w:drawing>
          <wp:inline distT="0" distB="0" distL="0" distR="0" wp14:anchorId="19D89F76" wp14:editId="4081983F">
            <wp:extent cx="2540000" cy="10223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6AD589F0" w14:textId="77777777" w:rsidR="0014469E" w:rsidRPr="006F518D" w:rsidRDefault="0014469E" w:rsidP="0014469E">
      <w:pPr>
        <w:jc w:val="both"/>
        <w:rPr>
          <w:rFonts w:ascii="Arial" w:hAnsi="Arial"/>
          <w:sz w:val="20"/>
          <w:szCs w:val="20"/>
        </w:rPr>
      </w:pPr>
    </w:p>
    <w:p w14:paraId="1D19A670" w14:textId="77777777" w:rsidR="0014469E" w:rsidRPr="006F518D" w:rsidRDefault="0014469E" w:rsidP="0014469E">
      <w:pPr>
        <w:jc w:val="both"/>
        <w:rPr>
          <w:rFonts w:ascii="Arial" w:hAnsi="Arial"/>
          <w:sz w:val="20"/>
          <w:szCs w:val="20"/>
        </w:rPr>
      </w:pPr>
      <w:r w:rsidRPr="006F518D">
        <w:rPr>
          <w:rFonts w:ascii="Arial" w:hAnsi="Arial"/>
          <w:sz w:val="20"/>
          <w:szCs w:val="20"/>
        </w:rPr>
        <w:t>Da bi podjetja spodbudila k promoviranju bolj trajnostnih izdelkov in storitev je Evropska komisija pozvala podjetja k prostovoljni zavezi o trajnostni potrošnji.</w:t>
      </w:r>
    </w:p>
    <w:p w14:paraId="7C12E00A" w14:textId="77777777" w:rsidR="0014469E" w:rsidRPr="006F518D" w:rsidRDefault="0014469E" w:rsidP="0014469E">
      <w:pPr>
        <w:jc w:val="both"/>
        <w:rPr>
          <w:rFonts w:ascii="Arial" w:hAnsi="Arial"/>
          <w:sz w:val="20"/>
          <w:szCs w:val="20"/>
        </w:rPr>
      </w:pPr>
    </w:p>
    <w:p w14:paraId="7B29D92A" w14:textId="77777777" w:rsidR="0014469E" w:rsidRPr="006F518D" w:rsidRDefault="0014469E" w:rsidP="0014469E">
      <w:pPr>
        <w:jc w:val="both"/>
        <w:rPr>
          <w:rFonts w:ascii="Arial" w:hAnsi="Arial"/>
          <w:sz w:val="20"/>
          <w:szCs w:val="20"/>
        </w:rPr>
      </w:pPr>
      <w:r w:rsidRPr="006F518D">
        <w:rPr>
          <w:rFonts w:ascii="Arial" w:hAnsi="Arial"/>
          <w:sz w:val="20"/>
          <w:szCs w:val="20"/>
        </w:rPr>
        <w:t>Več:</w:t>
      </w:r>
    </w:p>
    <w:p w14:paraId="1BF0BFCF" w14:textId="0452F4F3" w:rsidR="0014469E" w:rsidRDefault="0014469E" w:rsidP="008D784A">
      <w:pPr>
        <w:jc w:val="both"/>
        <w:rPr>
          <w:rFonts w:ascii="Arial" w:hAnsi="Arial"/>
          <w:sz w:val="20"/>
          <w:szCs w:val="20"/>
        </w:rPr>
      </w:pPr>
      <w:hyperlink r:id="rId22" w:history="1">
        <w:r w:rsidRPr="006F518D">
          <w:rPr>
            <w:rStyle w:val="Hyperlink"/>
            <w:rFonts w:ascii="Arial" w:hAnsi="Arial"/>
            <w:sz w:val="20"/>
            <w:szCs w:val="20"/>
          </w:rPr>
          <w:t>Zaveza</w:t>
        </w:r>
      </w:hyperlink>
    </w:p>
    <w:p w14:paraId="7D8BAE45" w14:textId="77777777" w:rsidR="008D784A" w:rsidRPr="008D784A" w:rsidRDefault="008D784A" w:rsidP="008D784A">
      <w:pPr>
        <w:jc w:val="both"/>
        <w:rPr>
          <w:rFonts w:ascii="Arial" w:hAnsi="Arial"/>
          <w:sz w:val="20"/>
          <w:szCs w:val="20"/>
        </w:rPr>
      </w:pPr>
    </w:p>
    <w:p w14:paraId="06F8F557" w14:textId="3A7630AD" w:rsidR="00C20E2E" w:rsidRPr="005D5EFA" w:rsidRDefault="00C20E2E" w:rsidP="00C20E2E">
      <w:pPr>
        <w:jc w:val="both"/>
        <w:rPr>
          <w:rFonts w:ascii="Arial" w:hAnsi="Arial"/>
          <w:b/>
          <w:bCs/>
          <w:color w:val="002060"/>
        </w:rPr>
      </w:pPr>
      <w:r w:rsidRPr="005D5EFA">
        <w:rPr>
          <w:rFonts w:ascii="Arial" w:hAnsi="Arial"/>
          <w:b/>
          <w:bCs/>
          <w:color w:val="002060"/>
        </w:rPr>
        <w:t>Javno posvetovanje o pregledu direktive o paketnem potovanju</w:t>
      </w:r>
    </w:p>
    <w:p w14:paraId="63361F02" w14:textId="2E364DBA" w:rsidR="005D5EFA" w:rsidRPr="00DC3A07" w:rsidRDefault="005D5EFA" w:rsidP="00C20E2E">
      <w:pPr>
        <w:jc w:val="both"/>
        <w:rPr>
          <w:rFonts w:ascii="Arial" w:hAnsi="Arial"/>
          <w:sz w:val="20"/>
          <w:szCs w:val="20"/>
        </w:rPr>
      </w:pPr>
    </w:p>
    <w:p w14:paraId="17E8C4FA" w14:textId="5F3173CF" w:rsidR="00C20E2E" w:rsidRPr="00DC3A07" w:rsidRDefault="005D5EFA" w:rsidP="00C20E2E">
      <w:pPr>
        <w:jc w:val="both"/>
        <w:rPr>
          <w:rFonts w:ascii="Arial" w:hAnsi="Arial"/>
          <w:sz w:val="20"/>
          <w:szCs w:val="20"/>
        </w:rPr>
      </w:pPr>
      <w:r>
        <w:rPr>
          <w:noProof/>
        </w:rPr>
        <w:drawing>
          <wp:inline distT="0" distB="0" distL="0" distR="0" wp14:anchorId="4BC7E02D" wp14:editId="510F9E1C">
            <wp:extent cx="2540000" cy="1035050"/>
            <wp:effectExtent l="0" t="0" r="0" b="0"/>
            <wp:docPr id="13" name="Picture 13" descr="A picture containing tex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sky&#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40000" cy="1035050"/>
                    </a:xfrm>
                    <a:prstGeom prst="rect">
                      <a:avLst/>
                    </a:prstGeom>
                    <a:noFill/>
                    <a:ln>
                      <a:noFill/>
                    </a:ln>
                  </pic:spPr>
                </pic:pic>
              </a:graphicData>
            </a:graphic>
          </wp:inline>
        </w:drawing>
      </w:r>
    </w:p>
    <w:p w14:paraId="0AAA359C" w14:textId="77777777" w:rsidR="005D5EFA" w:rsidRDefault="005D5EFA" w:rsidP="00C20E2E">
      <w:pPr>
        <w:jc w:val="both"/>
        <w:rPr>
          <w:rFonts w:ascii="Arial" w:hAnsi="Arial"/>
          <w:sz w:val="20"/>
          <w:szCs w:val="20"/>
        </w:rPr>
      </w:pPr>
    </w:p>
    <w:p w14:paraId="57D97167" w14:textId="0734ABA9" w:rsidR="00C20E2E" w:rsidRPr="00DC3A07" w:rsidRDefault="00C20E2E" w:rsidP="00C20E2E">
      <w:pPr>
        <w:jc w:val="both"/>
        <w:rPr>
          <w:rFonts w:ascii="Arial" w:hAnsi="Arial"/>
          <w:sz w:val="20"/>
          <w:szCs w:val="20"/>
        </w:rPr>
      </w:pPr>
      <w:r w:rsidRPr="00DC3A07">
        <w:rPr>
          <w:rFonts w:ascii="Arial" w:hAnsi="Arial"/>
          <w:sz w:val="20"/>
          <w:szCs w:val="20"/>
        </w:rPr>
        <w:t xml:space="preserve">Evropska komisija prek javnega posvetovanja do 10. maja zbira mnenja in predloge o direktivi o paketnem potovanju. Zbrati želi mnenja in predloge, kako bi lahko direktiva še naprej zagotavljala varstvo potrošnikov za potnike v vseh okoliščinah, tudi v kriznih obdobjih. </w:t>
      </w:r>
    </w:p>
    <w:p w14:paraId="4BE05A4D" w14:textId="77777777" w:rsidR="00C20E2E" w:rsidRPr="00DC3A07" w:rsidRDefault="00C20E2E" w:rsidP="00C20E2E">
      <w:pPr>
        <w:jc w:val="both"/>
        <w:rPr>
          <w:rFonts w:ascii="Arial" w:hAnsi="Arial"/>
          <w:sz w:val="20"/>
          <w:szCs w:val="20"/>
        </w:rPr>
      </w:pPr>
    </w:p>
    <w:p w14:paraId="78F52CA9" w14:textId="77777777" w:rsidR="00C20E2E" w:rsidRPr="00DC3A07" w:rsidRDefault="00C20E2E" w:rsidP="00C20E2E">
      <w:pPr>
        <w:jc w:val="both"/>
        <w:rPr>
          <w:rFonts w:ascii="Arial" w:hAnsi="Arial"/>
          <w:sz w:val="20"/>
          <w:szCs w:val="20"/>
        </w:rPr>
      </w:pPr>
      <w:r w:rsidRPr="00DC3A07">
        <w:rPr>
          <w:rFonts w:ascii="Arial" w:hAnsi="Arial"/>
          <w:sz w:val="20"/>
          <w:szCs w:val="20"/>
        </w:rPr>
        <w:t>Več:</w:t>
      </w:r>
    </w:p>
    <w:p w14:paraId="70BF56CA" w14:textId="77777777" w:rsidR="00C20E2E" w:rsidRPr="00DC3A07" w:rsidRDefault="00C20E2E" w:rsidP="00C20E2E">
      <w:pPr>
        <w:jc w:val="both"/>
        <w:rPr>
          <w:rFonts w:ascii="Arial" w:hAnsi="Arial"/>
          <w:sz w:val="20"/>
          <w:szCs w:val="20"/>
        </w:rPr>
      </w:pPr>
      <w:hyperlink r:id="rId24" w:history="1">
        <w:r w:rsidRPr="00DC3A07">
          <w:rPr>
            <w:rStyle w:val="Hyperlink"/>
            <w:rFonts w:ascii="Arial" w:hAnsi="Arial"/>
            <w:sz w:val="20"/>
            <w:szCs w:val="20"/>
          </w:rPr>
          <w:t>Posvetovanje</w:t>
        </w:r>
      </w:hyperlink>
    </w:p>
    <w:p w14:paraId="777165E9" w14:textId="77777777" w:rsidR="00C20E2E" w:rsidRPr="00DC3A07" w:rsidRDefault="00C20E2E" w:rsidP="00C20E2E">
      <w:pPr>
        <w:jc w:val="both"/>
        <w:rPr>
          <w:rFonts w:ascii="Arial" w:hAnsi="Arial"/>
          <w:sz w:val="20"/>
          <w:szCs w:val="20"/>
        </w:rPr>
      </w:pPr>
      <w:r w:rsidRPr="00DC3A07">
        <w:rPr>
          <w:rFonts w:ascii="Arial" w:hAnsi="Arial"/>
          <w:sz w:val="20"/>
          <w:szCs w:val="20"/>
        </w:rPr>
        <w:t>in</w:t>
      </w:r>
    </w:p>
    <w:p w14:paraId="545F9673" w14:textId="77777777" w:rsidR="00C20E2E" w:rsidRPr="00DC3A07" w:rsidRDefault="00C20E2E" w:rsidP="00C20E2E">
      <w:pPr>
        <w:jc w:val="both"/>
        <w:rPr>
          <w:rFonts w:ascii="Arial" w:hAnsi="Arial"/>
          <w:sz w:val="20"/>
          <w:szCs w:val="20"/>
        </w:rPr>
      </w:pPr>
      <w:hyperlink r:id="rId25" w:history="1">
        <w:r w:rsidRPr="00DC3A07">
          <w:rPr>
            <w:rStyle w:val="Hyperlink"/>
            <w:rFonts w:ascii="Arial" w:hAnsi="Arial"/>
            <w:sz w:val="20"/>
            <w:szCs w:val="20"/>
          </w:rPr>
          <w:t>Spletna stran z informacijami o direktivi</w:t>
        </w:r>
      </w:hyperlink>
    </w:p>
    <w:p w14:paraId="47BC29C0" w14:textId="189A85CA" w:rsidR="00C20E2E" w:rsidRDefault="00C20E2E" w:rsidP="0014469E"/>
    <w:p w14:paraId="7F19C0AE" w14:textId="537027E3" w:rsidR="00C20E2E" w:rsidRPr="005D5EFA" w:rsidRDefault="00C20E2E" w:rsidP="00C20E2E">
      <w:pPr>
        <w:jc w:val="both"/>
        <w:rPr>
          <w:rFonts w:ascii="Arial" w:hAnsi="Arial"/>
          <w:b/>
          <w:bCs/>
          <w:color w:val="002060"/>
        </w:rPr>
      </w:pPr>
      <w:r w:rsidRPr="005D5EFA">
        <w:rPr>
          <w:rFonts w:ascii="Arial" w:hAnsi="Arial"/>
          <w:b/>
          <w:bCs/>
          <w:color w:val="002060"/>
        </w:rPr>
        <w:t>Predlog za izboljšanje odpornosti skladov denarnega trga</w:t>
      </w:r>
    </w:p>
    <w:p w14:paraId="10B71EF6" w14:textId="77777777" w:rsidR="005D5EFA" w:rsidRDefault="005D5EFA" w:rsidP="00C20E2E">
      <w:pPr>
        <w:jc w:val="both"/>
        <w:rPr>
          <w:rFonts w:ascii="Arial" w:hAnsi="Arial"/>
          <w:sz w:val="20"/>
          <w:szCs w:val="20"/>
        </w:rPr>
      </w:pPr>
    </w:p>
    <w:p w14:paraId="6585C900" w14:textId="592AA105" w:rsidR="005D5EFA" w:rsidRPr="00DC3A07" w:rsidRDefault="005D5EFA" w:rsidP="00C20E2E">
      <w:pPr>
        <w:jc w:val="both"/>
        <w:rPr>
          <w:rFonts w:ascii="Arial" w:hAnsi="Arial"/>
          <w:sz w:val="20"/>
          <w:szCs w:val="20"/>
        </w:rPr>
      </w:pPr>
      <w:r>
        <w:rPr>
          <w:noProof/>
        </w:rPr>
        <w:drawing>
          <wp:inline distT="0" distB="0" distL="0" distR="0" wp14:anchorId="4F389389" wp14:editId="316A617C">
            <wp:extent cx="2540000" cy="1022350"/>
            <wp:effectExtent l="0" t="0" r="0" b="6350"/>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1A01CDDF" w14:textId="77777777" w:rsidR="00C20E2E" w:rsidRPr="00DC3A07" w:rsidRDefault="00C20E2E" w:rsidP="00C20E2E">
      <w:pPr>
        <w:jc w:val="both"/>
        <w:rPr>
          <w:rFonts w:ascii="Arial" w:hAnsi="Arial"/>
          <w:sz w:val="20"/>
          <w:szCs w:val="20"/>
        </w:rPr>
      </w:pPr>
    </w:p>
    <w:p w14:paraId="5243A4D3" w14:textId="77777777" w:rsidR="00C20E2E" w:rsidRPr="00DC3A07" w:rsidRDefault="00C20E2E" w:rsidP="00C20E2E">
      <w:pPr>
        <w:jc w:val="both"/>
        <w:rPr>
          <w:rFonts w:ascii="Arial" w:hAnsi="Arial"/>
          <w:sz w:val="20"/>
          <w:szCs w:val="20"/>
        </w:rPr>
      </w:pPr>
      <w:r w:rsidRPr="00DC3A07">
        <w:rPr>
          <w:rFonts w:ascii="Arial" w:hAnsi="Arial"/>
          <w:sz w:val="20"/>
          <w:szCs w:val="20"/>
        </w:rPr>
        <w:t xml:space="preserve">Evropski organ za vrednostne papirje in trge (ESMA) predlaga reforme, za katere ocenjuje, da lahko pripomorejo k izboljšanju odpornosti skladov denarnega trga. </w:t>
      </w:r>
    </w:p>
    <w:p w14:paraId="08171111" w14:textId="77777777" w:rsidR="00C20E2E" w:rsidRPr="00DC3A07" w:rsidRDefault="00C20E2E" w:rsidP="00C20E2E">
      <w:pPr>
        <w:jc w:val="both"/>
        <w:rPr>
          <w:rFonts w:ascii="Arial" w:hAnsi="Arial"/>
          <w:sz w:val="20"/>
          <w:szCs w:val="20"/>
        </w:rPr>
      </w:pPr>
    </w:p>
    <w:p w14:paraId="77F6678E" w14:textId="77777777" w:rsidR="00C20E2E" w:rsidRPr="00DC3A07" w:rsidRDefault="00C20E2E" w:rsidP="00C20E2E">
      <w:pPr>
        <w:jc w:val="both"/>
        <w:rPr>
          <w:rFonts w:ascii="Arial" w:hAnsi="Arial"/>
          <w:sz w:val="20"/>
          <w:szCs w:val="20"/>
        </w:rPr>
      </w:pPr>
      <w:r w:rsidRPr="00DC3A07">
        <w:rPr>
          <w:rFonts w:ascii="Arial" w:hAnsi="Arial"/>
          <w:sz w:val="20"/>
          <w:szCs w:val="20"/>
        </w:rPr>
        <w:t>Več:</w:t>
      </w:r>
    </w:p>
    <w:p w14:paraId="42EF9D22" w14:textId="77777777" w:rsidR="00C20E2E" w:rsidRPr="00DC3A07" w:rsidRDefault="00C20E2E" w:rsidP="00C20E2E">
      <w:pPr>
        <w:jc w:val="both"/>
        <w:rPr>
          <w:rFonts w:ascii="Arial" w:hAnsi="Arial"/>
          <w:sz w:val="20"/>
          <w:szCs w:val="20"/>
        </w:rPr>
      </w:pPr>
      <w:hyperlink r:id="rId27" w:history="1">
        <w:r w:rsidRPr="00DC3A07">
          <w:rPr>
            <w:rStyle w:val="Hyperlink"/>
            <w:rFonts w:ascii="Arial" w:hAnsi="Arial"/>
            <w:sz w:val="20"/>
            <w:szCs w:val="20"/>
          </w:rPr>
          <w:t>Predlog</w:t>
        </w:r>
      </w:hyperlink>
    </w:p>
    <w:p w14:paraId="55CFC27B" w14:textId="1E64DA81" w:rsidR="00C20E2E" w:rsidRDefault="00C20E2E" w:rsidP="0014469E"/>
    <w:p w14:paraId="2E8C9319" w14:textId="5C2B81A2" w:rsidR="00C20E2E" w:rsidRPr="005D5EFA" w:rsidRDefault="00C20E2E" w:rsidP="00C20E2E">
      <w:pPr>
        <w:jc w:val="both"/>
        <w:rPr>
          <w:rFonts w:ascii="Arial" w:hAnsi="Arial"/>
          <w:b/>
          <w:bCs/>
          <w:color w:val="002060"/>
        </w:rPr>
      </w:pPr>
      <w:r w:rsidRPr="005D5EFA">
        <w:rPr>
          <w:rFonts w:ascii="Arial" w:hAnsi="Arial"/>
          <w:b/>
          <w:bCs/>
          <w:color w:val="002060"/>
        </w:rPr>
        <w:t>Pravila o varovanju delavcev pred nevarnostmi zaradi izpostavljenosti  strupenim snovem</w:t>
      </w:r>
    </w:p>
    <w:p w14:paraId="0C18FB85" w14:textId="3575E4B9" w:rsidR="005D5EFA" w:rsidRDefault="005D5EFA" w:rsidP="00C20E2E">
      <w:pPr>
        <w:jc w:val="both"/>
        <w:rPr>
          <w:rFonts w:ascii="Arial" w:hAnsi="Arial"/>
          <w:sz w:val="20"/>
          <w:szCs w:val="20"/>
        </w:rPr>
      </w:pPr>
    </w:p>
    <w:p w14:paraId="06D46B05" w14:textId="093A6ADE" w:rsidR="005D5EFA" w:rsidRPr="00DC3A07" w:rsidRDefault="005D5EFA" w:rsidP="00C20E2E">
      <w:pPr>
        <w:jc w:val="both"/>
        <w:rPr>
          <w:rFonts w:ascii="Arial" w:hAnsi="Arial"/>
          <w:sz w:val="20"/>
          <w:szCs w:val="20"/>
        </w:rPr>
      </w:pPr>
      <w:r>
        <w:rPr>
          <w:noProof/>
        </w:rPr>
        <w:drawing>
          <wp:inline distT="0" distB="0" distL="0" distR="0" wp14:anchorId="499A1DC6" wp14:editId="32C9F7F6">
            <wp:extent cx="2540000" cy="1022350"/>
            <wp:effectExtent l="0" t="0" r="0" b="6350"/>
            <wp:docPr id="15" name="Picture 1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40000" cy="1022350"/>
                    </a:xfrm>
                    <a:prstGeom prst="rect">
                      <a:avLst/>
                    </a:prstGeom>
                    <a:noFill/>
                    <a:ln>
                      <a:noFill/>
                    </a:ln>
                  </pic:spPr>
                </pic:pic>
              </a:graphicData>
            </a:graphic>
          </wp:inline>
        </w:drawing>
      </w:r>
    </w:p>
    <w:p w14:paraId="61F3F91A" w14:textId="77777777" w:rsidR="00C20E2E" w:rsidRPr="00DC3A07" w:rsidRDefault="00C20E2E" w:rsidP="00C20E2E">
      <w:pPr>
        <w:jc w:val="both"/>
        <w:rPr>
          <w:rFonts w:ascii="Arial" w:hAnsi="Arial"/>
          <w:sz w:val="20"/>
          <w:szCs w:val="20"/>
        </w:rPr>
      </w:pPr>
    </w:p>
    <w:p w14:paraId="67A83E2C" w14:textId="77777777" w:rsidR="00C20E2E" w:rsidRPr="00DC3A07" w:rsidRDefault="00C20E2E" w:rsidP="00C20E2E">
      <w:pPr>
        <w:jc w:val="both"/>
        <w:rPr>
          <w:rFonts w:ascii="Arial" w:hAnsi="Arial"/>
          <w:sz w:val="20"/>
          <w:szCs w:val="20"/>
        </w:rPr>
      </w:pPr>
      <w:r w:rsidRPr="00DC3A07">
        <w:rPr>
          <w:rFonts w:ascii="Arial" w:hAnsi="Arial"/>
          <w:sz w:val="20"/>
          <w:szCs w:val="20"/>
        </w:rPr>
        <w:t xml:space="preserve">Evropski parlament je potrdil spremembe direktive o varovanju delavcev pred </w:t>
      </w:r>
      <w:r w:rsidRPr="00DC3A07">
        <w:rPr>
          <w:rFonts w:ascii="Arial" w:hAnsi="Arial"/>
          <w:sz w:val="20"/>
          <w:szCs w:val="20"/>
        </w:rPr>
        <w:lastRenderedPageBreak/>
        <w:t>nevarnostmi zaradi izpostavljenosti rakotvornim ali mutagenim snovem pri delu.</w:t>
      </w:r>
    </w:p>
    <w:p w14:paraId="3C66151F" w14:textId="77777777" w:rsidR="00C20E2E" w:rsidRPr="00DC3A07" w:rsidRDefault="00C20E2E" w:rsidP="00C20E2E">
      <w:pPr>
        <w:jc w:val="both"/>
        <w:rPr>
          <w:rFonts w:ascii="Arial" w:hAnsi="Arial"/>
          <w:sz w:val="20"/>
          <w:szCs w:val="20"/>
        </w:rPr>
      </w:pPr>
    </w:p>
    <w:p w14:paraId="334518C2" w14:textId="77777777" w:rsidR="00C20E2E" w:rsidRPr="00DC3A07" w:rsidRDefault="00C20E2E" w:rsidP="00C20E2E">
      <w:pPr>
        <w:jc w:val="both"/>
        <w:rPr>
          <w:rFonts w:ascii="Arial" w:hAnsi="Arial"/>
          <w:sz w:val="20"/>
          <w:szCs w:val="20"/>
        </w:rPr>
      </w:pPr>
      <w:r w:rsidRPr="00DC3A07">
        <w:rPr>
          <w:rFonts w:ascii="Arial" w:hAnsi="Arial"/>
          <w:sz w:val="20"/>
          <w:szCs w:val="20"/>
        </w:rPr>
        <w:t>Več:</w:t>
      </w:r>
    </w:p>
    <w:p w14:paraId="7CD3A3CA" w14:textId="77777777" w:rsidR="00C20E2E" w:rsidRPr="00DC3A07" w:rsidRDefault="00C20E2E" w:rsidP="00C20E2E">
      <w:pPr>
        <w:jc w:val="both"/>
        <w:rPr>
          <w:rFonts w:ascii="Arial" w:hAnsi="Arial"/>
          <w:sz w:val="20"/>
          <w:szCs w:val="20"/>
        </w:rPr>
      </w:pPr>
      <w:hyperlink r:id="rId29" w:history="1">
        <w:r w:rsidRPr="00DC3A07">
          <w:rPr>
            <w:rStyle w:val="Hyperlink"/>
            <w:rFonts w:ascii="Arial" w:hAnsi="Arial"/>
            <w:sz w:val="20"/>
            <w:szCs w:val="20"/>
          </w:rPr>
          <w:t>Resolucija</w:t>
        </w:r>
      </w:hyperlink>
    </w:p>
    <w:p w14:paraId="5F3A754B" w14:textId="60B2971C" w:rsidR="00C20E2E" w:rsidRDefault="00C20E2E" w:rsidP="0014469E"/>
    <w:p w14:paraId="69A92EFE" w14:textId="77777777" w:rsidR="00E75224" w:rsidRPr="005D5EFA" w:rsidRDefault="00E75224" w:rsidP="00E75224">
      <w:pPr>
        <w:jc w:val="both"/>
        <w:rPr>
          <w:rFonts w:ascii="Arial" w:hAnsi="Arial"/>
          <w:b/>
          <w:bCs/>
          <w:color w:val="002060"/>
        </w:rPr>
      </w:pPr>
      <w:r w:rsidRPr="005D5EFA">
        <w:rPr>
          <w:rFonts w:ascii="Arial" w:hAnsi="Arial"/>
          <w:b/>
          <w:bCs/>
          <w:color w:val="002060"/>
        </w:rPr>
        <w:t>EU bo letos podelila prve ekološke nagrade</w:t>
      </w:r>
    </w:p>
    <w:p w14:paraId="1A7CBA0A" w14:textId="77777777" w:rsidR="00E75224" w:rsidRPr="00422482" w:rsidRDefault="00E75224" w:rsidP="00E75224">
      <w:pPr>
        <w:jc w:val="both"/>
        <w:rPr>
          <w:rFonts w:ascii="Arial" w:hAnsi="Arial"/>
          <w:sz w:val="20"/>
          <w:szCs w:val="20"/>
        </w:rPr>
      </w:pPr>
    </w:p>
    <w:p w14:paraId="429FD034" w14:textId="5A6092F7" w:rsidR="005D5EFA" w:rsidRDefault="005D5EFA" w:rsidP="00E75224">
      <w:pPr>
        <w:jc w:val="both"/>
        <w:rPr>
          <w:rFonts w:ascii="Arial" w:hAnsi="Arial"/>
          <w:sz w:val="20"/>
          <w:szCs w:val="20"/>
        </w:rPr>
      </w:pPr>
      <w:r>
        <w:object w:dxaOrig="2670" w:dyaOrig="1100" w14:anchorId="609A29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203.5pt;height:84pt" o:ole="">
            <v:imagedata r:id="rId30" o:title=""/>
          </v:shape>
          <o:OLEObject Type="Embed" ProgID="Paint.Picture" ShapeID="_x0000_i1055" DrawAspect="Content" ObjectID="_1707569504" r:id="rId31"/>
        </w:object>
      </w:r>
    </w:p>
    <w:p w14:paraId="3DF9DD76" w14:textId="2122799A" w:rsidR="00E75224" w:rsidRPr="00422482" w:rsidRDefault="00E75224" w:rsidP="00E75224">
      <w:pPr>
        <w:jc w:val="both"/>
        <w:rPr>
          <w:rFonts w:ascii="Arial" w:hAnsi="Arial"/>
          <w:sz w:val="20"/>
          <w:szCs w:val="20"/>
        </w:rPr>
      </w:pPr>
      <w:r w:rsidRPr="00422482">
        <w:rPr>
          <w:rFonts w:ascii="Arial" w:hAnsi="Arial"/>
          <w:sz w:val="20"/>
          <w:szCs w:val="20"/>
        </w:rPr>
        <w:t xml:space="preserve">EU bo letos podelila prve ekološke nagrade, ki so predvidene kot priznanja za odličnost v celotni ekološki vrednostni verigi ter za nagrajevanje najboljših in najbolj inovativnih akterjev v ekološki pridelavi v EU. Prijave bodo odprte od 25. marca do 8. junija 2022. Podelili bodo osem nagrad v sedmih kategorijah, med drugim za najboljšo ekološko kmetovalko, najboljšega ekološkega kmeta, najboljšo ekološko regijo, najboljše ekološko mesto, najboljše ekološko </w:t>
      </w:r>
      <w:proofErr w:type="spellStart"/>
      <w:r w:rsidRPr="00422482">
        <w:rPr>
          <w:rFonts w:ascii="Arial" w:hAnsi="Arial"/>
          <w:sz w:val="20"/>
          <w:szCs w:val="20"/>
        </w:rPr>
        <w:t>bio</w:t>
      </w:r>
      <w:proofErr w:type="spellEnd"/>
      <w:r w:rsidRPr="00422482">
        <w:rPr>
          <w:rFonts w:ascii="Arial" w:hAnsi="Arial"/>
          <w:sz w:val="20"/>
          <w:szCs w:val="20"/>
        </w:rPr>
        <w:t xml:space="preserve"> okrožje, najboljše ekološko malo in srednje podjetje, najboljšega prodajalca ekoloških živil na drobno in najboljšo ekološko restavracijo. </w:t>
      </w:r>
    </w:p>
    <w:p w14:paraId="35B1CAD0" w14:textId="77777777" w:rsidR="00E75224" w:rsidRPr="00422482" w:rsidRDefault="00E75224" w:rsidP="00E75224">
      <w:pPr>
        <w:jc w:val="both"/>
        <w:rPr>
          <w:rFonts w:ascii="Arial" w:hAnsi="Arial"/>
          <w:sz w:val="20"/>
          <w:szCs w:val="20"/>
        </w:rPr>
      </w:pPr>
    </w:p>
    <w:p w14:paraId="00BE6A54" w14:textId="77777777" w:rsidR="00E75224" w:rsidRPr="00422482" w:rsidRDefault="00E75224" w:rsidP="00E75224">
      <w:pPr>
        <w:jc w:val="both"/>
        <w:rPr>
          <w:rFonts w:ascii="Arial" w:hAnsi="Arial"/>
          <w:sz w:val="20"/>
          <w:szCs w:val="20"/>
        </w:rPr>
      </w:pPr>
      <w:r w:rsidRPr="00422482">
        <w:rPr>
          <w:rFonts w:ascii="Arial" w:hAnsi="Arial"/>
          <w:sz w:val="20"/>
          <w:szCs w:val="20"/>
        </w:rPr>
        <w:t>Več:</w:t>
      </w:r>
    </w:p>
    <w:p w14:paraId="2401C70C" w14:textId="77777777" w:rsidR="00E75224" w:rsidRPr="00422482" w:rsidRDefault="00E75224" w:rsidP="00E75224">
      <w:pPr>
        <w:jc w:val="both"/>
        <w:rPr>
          <w:rFonts w:ascii="Arial" w:hAnsi="Arial"/>
          <w:sz w:val="20"/>
          <w:szCs w:val="20"/>
        </w:rPr>
      </w:pPr>
      <w:hyperlink r:id="rId32" w:history="1">
        <w:r w:rsidRPr="00422482">
          <w:rPr>
            <w:rStyle w:val="Hyperlink"/>
            <w:rFonts w:ascii="Arial" w:hAnsi="Arial"/>
            <w:sz w:val="20"/>
            <w:szCs w:val="20"/>
          </w:rPr>
          <w:t>Spletna stran z informacijami o nagradah</w:t>
        </w:r>
      </w:hyperlink>
    </w:p>
    <w:p w14:paraId="3E5BF758" w14:textId="77777777" w:rsidR="00C20E2E" w:rsidRDefault="00C20E2E" w:rsidP="0014469E"/>
    <w:sectPr w:rsidR="00C20E2E" w:rsidSect="005D5EFA">
      <w:headerReference w:type="first" r:id="rId33"/>
      <w:pgSz w:w="11906" w:h="16838"/>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1652" w14:textId="77777777" w:rsidR="003B6EEB" w:rsidRDefault="003B6EEB" w:rsidP="005D5EFA">
      <w:r>
        <w:separator/>
      </w:r>
    </w:p>
  </w:endnote>
  <w:endnote w:type="continuationSeparator" w:id="0">
    <w:p w14:paraId="1961F13B" w14:textId="77777777" w:rsidR="003B6EEB" w:rsidRDefault="003B6EEB" w:rsidP="005D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FAE9D" w14:textId="77777777" w:rsidR="003B6EEB" w:rsidRDefault="003B6EEB" w:rsidP="005D5EFA">
      <w:r>
        <w:separator/>
      </w:r>
    </w:p>
  </w:footnote>
  <w:footnote w:type="continuationSeparator" w:id="0">
    <w:p w14:paraId="01D0394B" w14:textId="77777777" w:rsidR="003B6EEB" w:rsidRDefault="003B6EEB" w:rsidP="005D5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D635" w14:textId="59509FA5" w:rsidR="005D5EFA" w:rsidRDefault="005D5EFA">
    <w:pPr>
      <w:pStyle w:val="Header"/>
    </w:pPr>
    <w:r>
      <w:rPr>
        <w:noProof/>
      </w:rPr>
      <w:drawing>
        <wp:inline distT="0" distB="0" distL="0" distR="0" wp14:anchorId="0D55305B" wp14:editId="01A1317E">
          <wp:extent cx="5731510" cy="2588260"/>
          <wp:effectExtent l="0" t="0" r="2540" b="254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25882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B3"/>
    <w:rsid w:val="0014469E"/>
    <w:rsid w:val="003B6EEB"/>
    <w:rsid w:val="003E7DDC"/>
    <w:rsid w:val="005D5EFA"/>
    <w:rsid w:val="005E31ED"/>
    <w:rsid w:val="00775FAB"/>
    <w:rsid w:val="008D784A"/>
    <w:rsid w:val="00B43ACF"/>
    <w:rsid w:val="00C20E2E"/>
    <w:rsid w:val="00CB21B3"/>
    <w:rsid w:val="00D347F8"/>
    <w:rsid w:val="00E75224"/>
    <w:rsid w:val="00FA776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F40C"/>
  <w15:chartTrackingRefBased/>
  <w15:docId w15:val="{E7CA844B-9AF3-4AB3-9C24-08B41ED1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69E"/>
    <w:pPr>
      <w:spacing w:after="0" w:line="240" w:lineRule="auto"/>
    </w:pPr>
    <w:rPr>
      <w:rFonts w:ascii="Times New Roman" w:eastAsia="NSimSun" w:hAnsi="Times New Roman" w:cs="Arial"/>
      <w:kern w:val="2"/>
      <w:sz w:val="24"/>
      <w:szCs w:val="24"/>
      <w:lang w:val="sl-SI"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469E"/>
    <w:rPr>
      <w:color w:val="0563C1" w:themeColor="hyperlink"/>
      <w:u w:val="single"/>
    </w:rPr>
  </w:style>
  <w:style w:type="paragraph" w:styleId="Header">
    <w:name w:val="header"/>
    <w:basedOn w:val="Normal"/>
    <w:link w:val="HeaderChar"/>
    <w:uiPriority w:val="99"/>
    <w:unhideWhenUsed/>
    <w:rsid w:val="005D5EFA"/>
    <w:pPr>
      <w:tabs>
        <w:tab w:val="center" w:pos="4513"/>
        <w:tab w:val="right" w:pos="9026"/>
      </w:tabs>
    </w:pPr>
    <w:rPr>
      <w:rFonts w:cs="Mangal"/>
      <w:szCs w:val="21"/>
    </w:rPr>
  </w:style>
  <w:style w:type="character" w:customStyle="1" w:styleId="HeaderChar">
    <w:name w:val="Header Char"/>
    <w:basedOn w:val="DefaultParagraphFont"/>
    <w:link w:val="Header"/>
    <w:uiPriority w:val="99"/>
    <w:rsid w:val="005D5EFA"/>
    <w:rPr>
      <w:rFonts w:ascii="Times New Roman" w:eastAsia="NSimSun" w:hAnsi="Times New Roman" w:cs="Mangal"/>
      <w:kern w:val="2"/>
      <w:sz w:val="24"/>
      <w:szCs w:val="21"/>
      <w:lang w:val="sl-SI" w:eastAsia="zh-CN" w:bidi="hi-IN"/>
    </w:rPr>
  </w:style>
  <w:style w:type="paragraph" w:styleId="Footer">
    <w:name w:val="footer"/>
    <w:basedOn w:val="Normal"/>
    <w:link w:val="FooterChar"/>
    <w:uiPriority w:val="99"/>
    <w:unhideWhenUsed/>
    <w:rsid w:val="005D5EFA"/>
    <w:pPr>
      <w:tabs>
        <w:tab w:val="center" w:pos="4513"/>
        <w:tab w:val="right" w:pos="9026"/>
      </w:tabs>
    </w:pPr>
    <w:rPr>
      <w:rFonts w:cs="Mangal"/>
      <w:szCs w:val="21"/>
    </w:rPr>
  </w:style>
  <w:style w:type="character" w:customStyle="1" w:styleId="FooterChar">
    <w:name w:val="Footer Char"/>
    <w:basedOn w:val="DefaultParagraphFont"/>
    <w:link w:val="Footer"/>
    <w:uiPriority w:val="99"/>
    <w:rsid w:val="005D5EFA"/>
    <w:rPr>
      <w:rFonts w:ascii="Times New Roman" w:eastAsia="NSimSun" w:hAnsi="Times New Roman" w:cs="Mangal"/>
      <w:kern w:val="2"/>
      <w:sz w:val="24"/>
      <w:szCs w:val="21"/>
      <w:lang w:val="sl-SI"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ec.europa.eu/eusurvey/runner/EuropeanChipsSurvey" TargetMode="External"/><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hyperlink" Target="https://ec.europa.eu/docsroom/documents/48598?locale=sl" TargetMode="External"/><Relationship Id="rId12" Type="http://schemas.openxmlformats.org/officeDocument/2006/relationships/hyperlink" Target="https://digital-strategy.ec.europa.eu/en/news/open-market-consultation-pcp-innovative-drone-based-solutions-agriculture-and-fisheries-monitoring" TargetMode="External"/><Relationship Id="rId17" Type="http://schemas.openxmlformats.org/officeDocument/2006/relationships/hyperlink" Target="https://digital-strategy.ec.europa.eu/en/policies/alliance-processors-and-semiconductor-technologies" TargetMode="External"/><Relationship Id="rId25" Type="http://schemas.openxmlformats.org/officeDocument/2006/relationships/hyperlink" Target="https://ec.europa.eu/info/law/law-topic/consumer-protection-law/travel-and-timeshare-law/package-travel-directive_sl" TargetMode="External"/><Relationship Id="rId3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digital-strategy.ec.europa.eu/en/library/european-chips-act-communication-regulation-joint-undertaking-and-recommendation" TargetMode="External"/><Relationship Id="rId20" Type="http://schemas.openxmlformats.org/officeDocument/2006/relationships/hyperlink" Target="https://curia.europa.eu/juris/documents.jsf?oqp=&amp;for=&amp;mat=or&amp;lgrec=en&amp;jge=&amp;td=%3BALL&amp;jur=C%2CT%2CF&amp;num=C-485%252F20&amp;page=1&amp;dates=&amp;pcs=Oor&amp;lg=&amp;pro=&amp;nat=or&amp;cit=none%252CC%252CCJ%252CR%252C2008E%252C%252C%252C%252C%252C%252C%252C%252C%252C%252Ctrue%252Cfalse%25" TargetMode="External"/><Relationship Id="rId29" Type="http://schemas.openxmlformats.org/officeDocument/2006/relationships/hyperlink" Target="https://www.europarl.europa.eu/doceo/document/TA-9-2022-0046_SL.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2.png"/><Relationship Id="rId24" Type="http://schemas.openxmlformats.org/officeDocument/2006/relationships/hyperlink" Target="https://ec.europa.eu/info/law/better-regulation/have-your-say/initiatives/13117-Package-travel-review-of-EU-rules/public-consultation_sl" TargetMode="External"/><Relationship Id="rId32" Type="http://schemas.openxmlformats.org/officeDocument/2006/relationships/hyperlink" Target="https://ec.europa.eu/info/food-farming-fisheries/farming/organic-farming/organic-action-plan/eu-organic-awards_sl" TargetMode="Externa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image" Target="media/image9.png"/><Relationship Id="rId10" Type="http://schemas.openxmlformats.org/officeDocument/2006/relationships/hyperlink" Target="https://ec.europa.eu/docsroom/documents/48601?locale=sl" TargetMode="External"/><Relationship Id="rId19" Type="http://schemas.openxmlformats.org/officeDocument/2006/relationships/image" Target="media/image5.png"/><Relationship Id="rId31"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hyperlink" Target="https://ec.europa.eu/docsroom/documents/48600?locale=sl" TargetMode="External"/><Relationship Id="rId14" Type="http://schemas.openxmlformats.org/officeDocument/2006/relationships/hyperlink" Target="https://www.esma.europa.eu/press-news/esma-news/esma-makes-new-bond-liquidity-data-available-and-publishes-data-systematic-0" TargetMode="External"/><Relationship Id="rId22" Type="http://schemas.openxmlformats.org/officeDocument/2006/relationships/hyperlink" Target="https://ec.europa.eu/info/policies/consumers/consumer-protection-policy/sustainable-consumption-pledge_sl" TargetMode="External"/><Relationship Id="rId27" Type="http://schemas.openxmlformats.org/officeDocument/2006/relationships/hyperlink" Target="https://www.esma.europa.eu/sites/default/files/library/esma34-49-437_finalreportmmfreview.pdf" TargetMode="External"/><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hyperlink" Target="https://ec.europa.eu/docsroom/documents/48599?locale=s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Bostjan Sinkovec</dc:creator>
  <cp:keywords/>
  <dc:description/>
  <cp:lastModifiedBy>Bostjan Sinkovec</cp:lastModifiedBy>
  <cp:revision>9</cp:revision>
  <dcterms:created xsi:type="dcterms:W3CDTF">2022-02-28T13:32:00Z</dcterms:created>
  <dcterms:modified xsi:type="dcterms:W3CDTF">2022-02-28T15:05:00Z</dcterms:modified>
</cp:coreProperties>
</file>