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927D" w14:textId="53D79DA8" w:rsidR="00501C6A" w:rsidRDefault="00501C6A" w:rsidP="00501C6A">
      <w:pPr>
        <w:jc w:val="both"/>
        <w:rPr>
          <w:rFonts w:ascii="Arial" w:hAnsi="Arial"/>
          <w:b/>
          <w:bCs/>
          <w:sz w:val="20"/>
          <w:szCs w:val="20"/>
        </w:rPr>
      </w:pPr>
      <w:r w:rsidRPr="008C2728">
        <w:rPr>
          <w:rFonts w:ascii="Arial" w:hAnsi="Arial"/>
          <w:b/>
          <w:bCs/>
          <w:sz w:val="20"/>
          <w:szCs w:val="20"/>
        </w:rPr>
        <w:t>Sodba o izplačilu dodatka k plači invalidnim delavcem</w:t>
      </w:r>
    </w:p>
    <w:p w14:paraId="11C81A97" w14:textId="44B0BD31" w:rsidR="00DA7491" w:rsidRDefault="00DA7491" w:rsidP="00501C6A">
      <w:pPr>
        <w:jc w:val="both"/>
        <w:rPr>
          <w:rFonts w:ascii="Arial" w:hAnsi="Arial"/>
          <w:b/>
          <w:bCs/>
          <w:sz w:val="20"/>
          <w:szCs w:val="20"/>
        </w:rPr>
      </w:pPr>
    </w:p>
    <w:p w14:paraId="4B56CC54" w14:textId="3AF7DB0A" w:rsidR="00DA7491" w:rsidRPr="008C2728" w:rsidRDefault="00DA7491" w:rsidP="00501C6A">
      <w:pPr>
        <w:jc w:val="both"/>
        <w:rPr>
          <w:rFonts w:ascii="Arial" w:hAnsi="Arial"/>
          <w:b/>
          <w:bCs/>
          <w:sz w:val="20"/>
          <w:szCs w:val="20"/>
        </w:rPr>
      </w:pPr>
      <w:r>
        <w:rPr>
          <w:rFonts w:ascii="Arial" w:eastAsia="Times New Roman" w:hAnsi="Arial"/>
          <w:b/>
          <w:bCs/>
          <w:noProof/>
          <w:color w:val="606060"/>
          <w:sz w:val="18"/>
          <w:szCs w:val="18"/>
        </w:rPr>
        <w:drawing>
          <wp:inline distT="0" distB="0" distL="0" distR="0" wp14:anchorId="49D9322E" wp14:editId="2024B31B">
            <wp:extent cx="2540000"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4C579DD3" w14:textId="77777777" w:rsidR="00501C6A" w:rsidRPr="009C2C05" w:rsidRDefault="00501C6A" w:rsidP="00501C6A">
      <w:pPr>
        <w:jc w:val="both"/>
        <w:rPr>
          <w:rFonts w:ascii="Arial" w:hAnsi="Arial"/>
          <w:sz w:val="20"/>
          <w:szCs w:val="20"/>
        </w:rPr>
      </w:pPr>
    </w:p>
    <w:p w14:paraId="584E8E61" w14:textId="77777777" w:rsidR="00501C6A" w:rsidRPr="009C2C05" w:rsidRDefault="00501C6A" w:rsidP="00501C6A">
      <w:pPr>
        <w:jc w:val="both"/>
        <w:rPr>
          <w:rFonts w:ascii="Arial" w:hAnsi="Arial"/>
          <w:sz w:val="20"/>
          <w:szCs w:val="20"/>
        </w:rPr>
      </w:pPr>
      <w:r w:rsidRPr="009C2C05">
        <w:rPr>
          <w:rFonts w:ascii="Arial" w:hAnsi="Arial"/>
          <w:sz w:val="20"/>
          <w:szCs w:val="20"/>
        </w:rPr>
        <w:t>Praksa delodajalca, da dodatek k plači izplača le invalidnim delavcem, ki so odločbo o ugotovljeni invalidnosti predložili po datumu, ki ga je sam izbral, lahko pomeni neposredno ali posredno diskriminacijo zaradi invalidnosti, je presodilo Sodišče EU.</w:t>
      </w:r>
    </w:p>
    <w:p w14:paraId="58B8FA33" w14:textId="77777777" w:rsidR="00501C6A" w:rsidRPr="009C2C05" w:rsidRDefault="00501C6A" w:rsidP="00501C6A">
      <w:pPr>
        <w:jc w:val="both"/>
        <w:rPr>
          <w:rFonts w:ascii="Arial" w:hAnsi="Arial"/>
          <w:sz w:val="20"/>
          <w:szCs w:val="20"/>
        </w:rPr>
      </w:pPr>
    </w:p>
    <w:p w14:paraId="4B6363FF" w14:textId="77777777" w:rsidR="00501C6A" w:rsidRPr="009C2C05" w:rsidRDefault="00501C6A" w:rsidP="00501C6A">
      <w:pPr>
        <w:jc w:val="both"/>
        <w:rPr>
          <w:rFonts w:ascii="Arial" w:hAnsi="Arial"/>
          <w:sz w:val="20"/>
          <w:szCs w:val="20"/>
        </w:rPr>
      </w:pPr>
      <w:r w:rsidRPr="009C2C05">
        <w:rPr>
          <w:rFonts w:ascii="Arial" w:hAnsi="Arial"/>
          <w:sz w:val="20"/>
          <w:szCs w:val="20"/>
        </w:rPr>
        <w:t>Več:</w:t>
      </w:r>
    </w:p>
    <w:p w14:paraId="3F0015F0" w14:textId="531836A5" w:rsidR="00501C6A" w:rsidRDefault="00EC2AA1" w:rsidP="00501C6A">
      <w:pPr>
        <w:jc w:val="both"/>
        <w:rPr>
          <w:rStyle w:val="Hyperlink"/>
          <w:rFonts w:ascii="Arial" w:hAnsi="Arial"/>
          <w:sz w:val="20"/>
          <w:szCs w:val="20"/>
        </w:rPr>
      </w:pPr>
      <w:hyperlink r:id="rId7" w:history="1">
        <w:r w:rsidR="00501C6A" w:rsidRPr="009C2C05">
          <w:rPr>
            <w:rStyle w:val="Hyperlink"/>
            <w:rFonts w:ascii="Arial" w:hAnsi="Arial"/>
            <w:sz w:val="20"/>
            <w:szCs w:val="20"/>
          </w:rPr>
          <w:t>Sodba</w:t>
        </w:r>
      </w:hyperlink>
    </w:p>
    <w:p w14:paraId="62F53035" w14:textId="77777777" w:rsidR="00501C6A" w:rsidRPr="009C2C05" w:rsidRDefault="00501C6A" w:rsidP="00501C6A">
      <w:pPr>
        <w:jc w:val="both"/>
        <w:rPr>
          <w:rFonts w:ascii="Arial" w:hAnsi="Arial"/>
          <w:sz w:val="20"/>
          <w:szCs w:val="20"/>
        </w:rPr>
      </w:pPr>
    </w:p>
    <w:p w14:paraId="1B363EEB" w14:textId="341661F4" w:rsidR="001E0747" w:rsidRDefault="00EC2AA1"/>
    <w:p w14:paraId="0D2A1824" w14:textId="519AEC5E" w:rsidR="00501C6A" w:rsidRDefault="00501C6A" w:rsidP="00501C6A">
      <w:pPr>
        <w:jc w:val="both"/>
        <w:rPr>
          <w:rFonts w:ascii="Arial" w:hAnsi="Arial"/>
          <w:b/>
          <w:bCs/>
          <w:sz w:val="20"/>
          <w:szCs w:val="20"/>
        </w:rPr>
      </w:pPr>
      <w:r w:rsidRPr="008C2728">
        <w:rPr>
          <w:rFonts w:ascii="Arial" w:hAnsi="Arial"/>
          <w:b/>
          <w:bCs/>
          <w:sz w:val="20"/>
          <w:szCs w:val="20"/>
        </w:rPr>
        <w:t xml:space="preserve">Poziv za vložitev kandidatur za članstvo v delovni skupini za </w:t>
      </w:r>
      <w:proofErr w:type="spellStart"/>
      <w:r w:rsidRPr="008C2728">
        <w:rPr>
          <w:rFonts w:ascii="Arial" w:hAnsi="Arial"/>
          <w:b/>
          <w:bCs/>
          <w:sz w:val="20"/>
          <w:szCs w:val="20"/>
        </w:rPr>
        <w:t>potrgovanje</w:t>
      </w:r>
      <w:proofErr w:type="spellEnd"/>
      <w:r w:rsidRPr="008C2728">
        <w:rPr>
          <w:rFonts w:ascii="Arial" w:hAnsi="Arial"/>
          <w:b/>
          <w:bCs/>
          <w:sz w:val="20"/>
          <w:szCs w:val="20"/>
        </w:rPr>
        <w:t xml:space="preserve"> (post-</w:t>
      </w:r>
      <w:proofErr w:type="spellStart"/>
      <w:r w:rsidRPr="008C2728">
        <w:rPr>
          <w:rFonts w:ascii="Arial" w:hAnsi="Arial"/>
          <w:b/>
          <w:bCs/>
          <w:sz w:val="20"/>
          <w:szCs w:val="20"/>
        </w:rPr>
        <w:t>trading</w:t>
      </w:r>
      <w:proofErr w:type="spellEnd"/>
      <w:r w:rsidRPr="008C2728">
        <w:rPr>
          <w:rFonts w:ascii="Arial" w:hAnsi="Arial"/>
          <w:b/>
          <w:bCs/>
          <w:sz w:val="20"/>
          <w:szCs w:val="20"/>
        </w:rPr>
        <w:t>)</w:t>
      </w:r>
    </w:p>
    <w:p w14:paraId="3F6AB4E7" w14:textId="7BAAEB30" w:rsidR="00DA7491" w:rsidRDefault="00DA7491" w:rsidP="00501C6A">
      <w:pPr>
        <w:jc w:val="both"/>
        <w:rPr>
          <w:rFonts w:ascii="Arial" w:hAnsi="Arial"/>
          <w:b/>
          <w:bCs/>
          <w:sz w:val="20"/>
          <w:szCs w:val="20"/>
        </w:rPr>
      </w:pPr>
    </w:p>
    <w:p w14:paraId="670D9881" w14:textId="1DFE031A" w:rsidR="00DA7491" w:rsidRPr="008C2728" w:rsidRDefault="00DA7491" w:rsidP="00501C6A">
      <w:pPr>
        <w:jc w:val="both"/>
        <w:rPr>
          <w:rFonts w:ascii="Arial" w:hAnsi="Arial"/>
          <w:b/>
          <w:bCs/>
          <w:sz w:val="20"/>
          <w:szCs w:val="20"/>
        </w:rPr>
      </w:pPr>
      <w:r>
        <w:rPr>
          <w:rFonts w:eastAsia="Times New Roman"/>
          <w:noProof/>
        </w:rPr>
        <w:drawing>
          <wp:inline distT="0" distB="0" distL="0" distR="0" wp14:anchorId="52BB5C56" wp14:editId="6544DDCE">
            <wp:extent cx="2540000" cy="10223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22ECC731" w14:textId="77777777" w:rsidR="00501C6A" w:rsidRPr="0058189B" w:rsidRDefault="00501C6A" w:rsidP="00501C6A">
      <w:pPr>
        <w:jc w:val="both"/>
        <w:rPr>
          <w:rFonts w:ascii="Arial" w:hAnsi="Arial"/>
          <w:sz w:val="20"/>
          <w:szCs w:val="20"/>
        </w:rPr>
      </w:pPr>
    </w:p>
    <w:p w14:paraId="70A2596C" w14:textId="77777777" w:rsidR="00501C6A" w:rsidRPr="0058189B" w:rsidRDefault="00501C6A" w:rsidP="00501C6A">
      <w:pPr>
        <w:jc w:val="both"/>
        <w:rPr>
          <w:rFonts w:ascii="Arial" w:hAnsi="Arial"/>
          <w:sz w:val="20"/>
          <w:szCs w:val="20"/>
        </w:rPr>
      </w:pPr>
      <w:r w:rsidRPr="0058189B">
        <w:rPr>
          <w:rFonts w:ascii="Arial" w:hAnsi="Arial"/>
          <w:sz w:val="20"/>
          <w:szCs w:val="20"/>
        </w:rPr>
        <w:t xml:space="preserve">Evropski organ za vrednotne papirje in trge (ESMA) do 8. marca zbira kandidature za članstvo v posvetovalni delovni skupini za </w:t>
      </w:r>
      <w:proofErr w:type="spellStart"/>
      <w:r w:rsidRPr="0058189B">
        <w:rPr>
          <w:rFonts w:ascii="Arial" w:hAnsi="Arial"/>
          <w:sz w:val="20"/>
          <w:szCs w:val="20"/>
        </w:rPr>
        <w:t>potrgovanje</w:t>
      </w:r>
      <w:proofErr w:type="spellEnd"/>
      <w:r w:rsidRPr="0058189B">
        <w:rPr>
          <w:rFonts w:ascii="Arial" w:hAnsi="Arial"/>
          <w:sz w:val="20"/>
          <w:szCs w:val="20"/>
        </w:rPr>
        <w:t xml:space="preserve"> (post-</w:t>
      </w:r>
      <w:proofErr w:type="spellStart"/>
      <w:r w:rsidRPr="0058189B">
        <w:rPr>
          <w:rFonts w:ascii="Arial" w:hAnsi="Arial"/>
          <w:sz w:val="20"/>
          <w:szCs w:val="20"/>
        </w:rPr>
        <w:t>trading</w:t>
      </w:r>
      <w:proofErr w:type="spellEnd"/>
      <w:r w:rsidRPr="0058189B">
        <w:rPr>
          <w:rFonts w:ascii="Arial" w:hAnsi="Arial"/>
          <w:sz w:val="20"/>
          <w:szCs w:val="20"/>
        </w:rPr>
        <w:t>).</w:t>
      </w:r>
    </w:p>
    <w:p w14:paraId="1F4D6E09" w14:textId="77777777" w:rsidR="00501C6A" w:rsidRPr="0058189B" w:rsidRDefault="00501C6A" w:rsidP="00501C6A">
      <w:pPr>
        <w:jc w:val="both"/>
        <w:rPr>
          <w:rFonts w:ascii="Arial" w:hAnsi="Arial"/>
          <w:sz w:val="20"/>
          <w:szCs w:val="20"/>
        </w:rPr>
      </w:pPr>
    </w:p>
    <w:p w14:paraId="78831506" w14:textId="77777777" w:rsidR="00501C6A" w:rsidRPr="0058189B" w:rsidRDefault="00501C6A" w:rsidP="00501C6A">
      <w:pPr>
        <w:jc w:val="both"/>
        <w:rPr>
          <w:rFonts w:ascii="Arial" w:hAnsi="Arial"/>
          <w:sz w:val="20"/>
          <w:szCs w:val="20"/>
        </w:rPr>
      </w:pPr>
      <w:r w:rsidRPr="0058189B">
        <w:rPr>
          <w:rFonts w:ascii="Arial" w:hAnsi="Arial"/>
          <w:sz w:val="20"/>
          <w:szCs w:val="20"/>
        </w:rPr>
        <w:t>Več:</w:t>
      </w:r>
    </w:p>
    <w:p w14:paraId="57CA8B80" w14:textId="73473A0B" w:rsidR="00501C6A" w:rsidRDefault="00EC2AA1" w:rsidP="00501C6A">
      <w:pPr>
        <w:jc w:val="both"/>
        <w:rPr>
          <w:rStyle w:val="Hyperlink"/>
          <w:rFonts w:ascii="Arial" w:hAnsi="Arial"/>
          <w:sz w:val="20"/>
          <w:szCs w:val="20"/>
        </w:rPr>
      </w:pPr>
      <w:hyperlink r:id="rId9" w:history="1">
        <w:r w:rsidR="00501C6A" w:rsidRPr="0058189B">
          <w:rPr>
            <w:rStyle w:val="Hyperlink"/>
            <w:rFonts w:ascii="Arial" w:hAnsi="Arial"/>
            <w:sz w:val="20"/>
            <w:szCs w:val="20"/>
          </w:rPr>
          <w:t>Poziv</w:t>
        </w:r>
      </w:hyperlink>
    </w:p>
    <w:p w14:paraId="0E8A9B34" w14:textId="77777777" w:rsidR="00501C6A" w:rsidRPr="0058189B" w:rsidRDefault="00501C6A" w:rsidP="00501C6A">
      <w:pPr>
        <w:jc w:val="both"/>
        <w:rPr>
          <w:rFonts w:ascii="Arial" w:hAnsi="Arial"/>
          <w:sz w:val="20"/>
          <w:szCs w:val="20"/>
        </w:rPr>
      </w:pPr>
    </w:p>
    <w:p w14:paraId="26F12BCD" w14:textId="77777777" w:rsidR="00501C6A" w:rsidRDefault="00501C6A"/>
    <w:p w14:paraId="3F0A5DCA" w14:textId="34C9B910" w:rsidR="00501C6A" w:rsidRDefault="00501C6A" w:rsidP="00501C6A">
      <w:pPr>
        <w:jc w:val="both"/>
        <w:rPr>
          <w:rFonts w:ascii="Arial" w:hAnsi="Arial"/>
          <w:b/>
          <w:bCs/>
          <w:sz w:val="20"/>
          <w:szCs w:val="20"/>
        </w:rPr>
      </w:pPr>
      <w:r w:rsidRPr="008C2728">
        <w:rPr>
          <w:rFonts w:ascii="Arial" w:hAnsi="Arial"/>
          <w:b/>
          <w:bCs/>
          <w:sz w:val="20"/>
          <w:szCs w:val="20"/>
        </w:rPr>
        <w:t>Sprejeta je strategija Evropskega računskega sodišča za prihodnjih pet let</w:t>
      </w:r>
    </w:p>
    <w:p w14:paraId="39CD72A1" w14:textId="19B35FD6" w:rsidR="00DA7491" w:rsidRDefault="00DA7491" w:rsidP="00501C6A">
      <w:pPr>
        <w:jc w:val="both"/>
        <w:rPr>
          <w:rFonts w:ascii="Arial" w:hAnsi="Arial"/>
          <w:b/>
          <w:bCs/>
          <w:sz w:val="20"/>
          <w:szCs w:val="20"/>
        </w:rPr>
      </w:pPr>
    </w:p>
    <w:p w14:paraId="117043F3" w14:textId="57A3D036" w:rsidR="00DA7491" w:rsidRPr="008C2728" w:rsidRDefault="00DA7491" w:rsidP="00501C6A">
      <w:pPr>
        <w:jc w:val="both"/>
        <w:rPr>
          <w:rFonts w:ascii="Arial" w:hAnsi="Arial"/>
          <w:b/>
          <w:bCs/>
          <w:sz w:val="20"/>
          <w:szCs w:val="20"/>
        </w:rPr>
      </w:pPr>
      <w:r>
        <w:rPr>
          <w:rFonts w:eastAsia="Times New Roman"/>
          <w:noProof/>
        </w:rPr>
        <w:drawing>
          <wp:inline distT="0" distB="0" distL="0" distR="0" wp14:anchorId="07A6AF10" wp14:editId="0C2A8E5A">
            <wp:extent cx="2540000" cy="1022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0BBCDB56" w14:textId="77777777" w:rsidR="00501C6A" w:rsidRPr="0058189B" w:rsidRDefault="00501C6A" w:rsidP="00501C6A">
      <w:pPr>
        <w:jc w:val="both"/>
        <w:rPr>
          <w:rFonts w:ascii="Arial" w:hAnsi="Arial"/>
          <w:sz w:val="20"/>
          <w:szCs w:val="20"/>
        </w:rPr>
      </w:pPr>
    </w:p>
    <w:p w14:paraId="67373A9F" w14:textId="77777777" w:rsidR="00501C6A" w:rsidRPr="0058189B" w:rsidRDefault="00501C6A" w:rsidP="00501C6A">
      <w:pPr>
        <w:jc w:val="both"/>
        <w:rPr>
          <w:rFonts w:ascii="Arial" w:hAnsi="Arial"/>
          <w:sz w:val="20"/>
          <w:szCs w:val="20"/>
        </w:rPr>
      </w:pPr>
      <w:r w:rsidRPr="0058189B">
        <w:rPr>
          <w:rFonts w:ascii="Arial" w:hAnsi="Arial"/>
          <w:sz w:val="20"/>
          <w:szCs w:val="20"/>
        </w:rPr>
        <w:t>Evropsko računsko sodišče v strategiji za obdobje 2021-2025 predstavlja, kako namerava prispevati  k odpornejši, trajnostni in pošteni EU.</w:t>
      </w:r>
    </w:p>
    <w:p w14:paraId="4CD0D16F" w14:textId="77777777" w:rsidR="00501C6A" w:rsidRPr="0058189B" w:rsidRDefault="00501C6A" w:rsidP="00501C6A">
      <w:pPr>
        <w:jc w:val="both"/>
        <w:rPr>
          <w:rFonts w:ascii="Arial" w:hAnsi="Arial"/>
          <w:sz w:val="20"/>
          <w:szCs w:val="20"/>
        </w:rPr>
      </w:pPr>
    </w:p>
    <w:p w14:paraId="01FF69D7" w14:textId="77777777" w:rsidR="00501C6A" w:rsidRPr="0058189B" w:rsidRDefault="00501C6A" w:rsidP="00501C6A">
      <w:pPr>
        <w:jc w:val="both"/>
        <w:rPr>
          <w:rFonts w:ascii="Arial" w:hAnsi="Arial"/>
          <w:sz w:val="20"/>
          <w:szCs w:val="20"/>
        </w:rPr>
      </w:pPr>
      <w:r w:rsidRPr="0058189B">
        <w:rPr>
          <w:rFonts w:ascii="Arial" w:hAnsi="Arial"/>
          <w:sz w:val="20"/>
          <w:szCs w:val="20"/>
        </w:rPr>
        <w:t>Več:</w:t>
      </w:r>
    </w:p>
    <w:p w14:paraId="3E8C20C4" w14:textId="7670E03F" w:rsidR="00501C6A" w:rsidRDefault="00EC2AA1" w:rsidP="00501C6A">
      <w:pPr>
        <w:jc w:val="both"/>
        <w:rPr>
          <w:rStyle w:val="Hyperlink"/>
          <w:rFonts w:ascii="Arial" w:hAnsi="Arial"/>
          <w:sz w:val="20"/>
          <w:szCs w:val="20"/>
        </w:rPr>
      </w:pPr>
      <w:hyperlink r:id="rId11" w:history="1">
        <w:r w:rsidR="00501C6A" w:rsidRPr="0058189B">
          <w:rPr>
            <w:rStyle w:val="Hyperlink"/>
            <w:rFonts w:ascii="Arial" w:hAnsi="Arial"/>
            <w:sz w:val="20"/>
            <w:szCs w:val="20"/>
          </w:rPr>
          <w:t>Strategija</w:t>
        </w:r>
      </w:hyperlink>
    </w:p>
    <w:p w14:paraId="6357C03A" w14:textId="77777777" w:rsidR="00501C6A" w:rsidRPr="0058189B" w:rsidRDefault="00501C6A" w:rsidP="00501C6A">
      <w:pPr>
        <w:jc w:val="both"/>
        <w:rPr>
          <w:rFonts w:ascii="Arial" w:hAnsi="Arial"/>
          <w:sz w:val="20"/>
          <w:szCs w:val="20"/>
        </w:rPr>
      </w:pPr>
    </w:p>
    <w:p w14:paraId="20D1D9DF" w14:textId="77777777" w:rsidR="00501C6A" w:rsidRPr="0058189B" w:rsidRDefault="00501C6A" w:rsidP="00501C6A">
      <w:pPr>
        <w:jc w:val="both"/>
        <w:rPr>
          <w:rFonts w:ascii="Arial" w:hAnsi="Arial"/>
          <w:sz w:val="20"/>
          <w:szCs w:val="20"/>
        </w:rPr>
      </w:pPr>
    </w:p>
    <w:p w14:paraId="2DA00240" w14:textId="77777777" w:rsidR="00501C6A" w:rsidRPr="008C2728" w:rsidRDefault="00501C6A" w:rsidP="00501C6A">
      <w:pPr>
        <w:jc w:val="both"/>
        <w:rPr>
          <w:rFonts w:ascii="Arial" w:hAnsi="Arial"/>
          <w:b/>
          <w:bCs/>
          <w:sz w:val="20"/>
          <w:szCs w:val="20"/>
        </w:rPr>
      </w:pPr>
      <w:r w:rsidRPr="008C2728">
        <w:rPr>
          <w:rFonts w:ascii="Arial" w:hAnsi="Arial"/>
          <w:b/>
          <w:bCs/>
          <w:sz w:val="20"/>
          <w:szCs w:val="20"/>
        </w:rPr>
        <w:t xml:space="preserve">Revizorji Evropskega računskega sodišča se bodo letos osredotočili na </w:t>
      </w:r>
      <w:proofErr w:type="spellStart"/>
      <w:r w:rsidRPr="008C2728">
        <w:rPr>
          <w:rFonts w:ascii="Arial" w:hAnsi="Arial"/>
          <w:b/>
          <w:bCs/>
          <w:sz w:val="20"/>
          <w:szCs w:val="20"/>
        </w:rPr>
        <w:t>protikoronske</w:t>
      </w:r>
      <w:proofErr w:type="spellEnd"/>
      <w:r w:rsidRPr="008C2728">
        <w:rPr>
          <w:rFonts w:ascii="Arial" w:hAnsi="Arial"/>
          <w:b/>
          <w:bCs/>
          <w:sz w:val="20"/>
          <w:szCs w:val="20"/>
        </w:rPr>
        <w:t xml:space="preserve"> ukrepe</w:t>
      </w:r>
    </w:p>
    <w:p w14:paraId="6E831A9A" w14:textId="77777777" w:rsidR="00501C6A" w:rsidRPr="0058189B" w:rsidRDefault="00501C6A" w:rsidP="00501C6A">
      <w:pPr>
        <w:jc w:val="both"/>
        <w:rPr>
          <w:rFonts w:ascii="Arial" w:hAnsi="Arial"/>
          <w:sz w:val="20"/>
          <w:szCs w:val="20"/>
        </w:rPr>
      </w:pPr>
    </w:p>
    <w:p w14:paraId="7E690EC4" w14:textId="5C667107" w:rsidR="00DA7491" w:rsidRDefault="00DA7491" w:rsidP="00501C6A">
      <w:pPr>
        <w:jc w:val="both"/>
        <w:rPr>
          <w:rFonts w:ascii="Arial" w:hAnsi="Arial"/>
          <w:sz w:val="20"/>
          <w:szCs w:val="20"/>
        </w:rPr>
      </w:pPr>
      <w:r>
        <w:rPr>
          <w:rFonts w:ascii="Helvetica" w:eastAsia="Times New Roman" w:hAnsi="Helvetica" w:cs="Helvetica"/>
          <w:noProof/>
          <w:color w:val="606060"/>
          <w:sz w:val="23"/>
          <w:szCs w:val="23"/>
        </w:rPr>
        <w:drawing>
          <wp:inline distT="0" distB="0" distL="0" distR="0" wp14:anchorId="5D156E04" wp14:editId="7613BA14">
            <wp:extent cx="2540000" cy="1022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610B042A" w14:textId="77777777" w:rsidR="00DA7491" w:rsidRDefault="00DA7491" w:rsidP="00501C6A">
      <w:pPr>
        <w:jc w:val="both"/>
        <w:rPr>
          <w:rFonts w:ascii="Arial" w:hAnsi="Arial"/>
          <w:sz w:val="20"/>
          <w:szCs w:val="20"/>
        </w:rPr>
      </w:pPr>
    </w:p>
    <w:p w14:paraId="36A07F7B" w14:textId="42778654" w:rsidR="00501C6A" w:rsidRPr="0058189B" w:rsidRDefault="00501C6A" w:rsidP="00501C6A">
      <w:pPr>
        <w:jc w:val="both"/>
        <w:rPr>
          <w:rFonts w:ascii="Arial" w:hAnsi="Arial"/>
          <w:sz w:val="20"/>
          <w:szCs w:val="20"/>
        </w:rPr>
      </w:pPr>
      <w:r w:rsidRPr="0058189B">
        <w:rPr>
          <w:rFonts w:ascii="Arial" w:hAnsi="Arial"/>
          <w:sz w:val="20"/>
          <w:szCs w:val="20"/>
        </w:rPr>
        <w:t xml:space="preserve">Evropsko računsko sodišče v programu dela za leto 2021 navaja, da bo pri četrtini novih revizij obravnavalo odziv EU na pandemijo COVID-19 in sveženj ukrepov za okrevanje </w:t>
      </w:r>
      <w:proofErr w:type="spellStart"/>
      <w:r w:rsidRPr="0058189B">
        <w:rPr>
          <w:rFonts w:ascii="Arial" w:hAnsi="Arial"/>
          <w:sz w:val="20"/>
          <w:szCs w:val="20"/>
        </w:rPr>
        <w:t>Next</w:t>
      </w:r>
      <w:proofErr w:type="spellEnd"/>
      <w:r w:rsidRPr="0058189B">
        <w:rPr>
          <w:rFonts w:ascii="Arial" w:hAnsi="Arial"/>
          <w:sz w:val="20"/>
          <w:szCs w:val="20"/>
        </w:rPr>
        <w:t xml:space="preserve"> </w:t>
      </w:r>
      <w:proofErr w:type="spellStart"/>
      <w:r w:rsidRPr="0058189B">
        <w:rPr>
          <w:rFonts w:ascii="Arial" w:hAnsi="Arial"/>
          <w:sz w:val="20"/>
          <w:szCs w:val="20"/>
        </w:rPr>
        <w:t>Generation</w:t>
      </w:r>
      <w:proofErr w:type="spellEnd"/>
      <w:r w:rsidRPr="0058189B">
        <w:rPr>
          <w:rFonts w:ascii="Arial" w:hAnsi="Arial"/>
          <w:sz w:val="20"/>
          <w:szCs w:val="20"/>
        </w:rPr>
        <w:t xml:space="preserve"> EU.</w:t>
      </w:r>
    </w:p>
    <w:p w14:paraId="46475D23" w14:textId="77777777" w:rsidR="00501C6A" w:rsidRPr="0058189B" w:rsidRDefault="00501C6A" w:rsidP="00501C6A">
      <w:pPr>
        <w:jc w:val="both"/>
        <w:rPr>
          <w:rFonts w:ascii="Arial" w:hAnsi="Arial"/>
          <w:sz w:val="20"/>
          <w:szCs w:val="20"/>
        </w:rPr>
      </w:pPr>
    </w:p>
    <w:p w14:paraId="3ACCDE2F" w14:textId="77777777" w:rsidR="00501C6A" w:rsidRPr="0058189B" w:rsidRDefault="00501C6A" w:rsidP="00501C6A">
      <w:pPr>
        <w:jc w:val="both"/>
        <w:rPr>
          <w:rFonts w:ascii="Arial" w:hAnsi="Arial"/>
          <w:sz w:val="20"/>
          <w:szCs w:val="20"/>
        </w:rPr>
      </w:pPr>
      <w:r w:rsidRPr="0058189B">
        <w:rPr>
          <w:rFonts w:ascii="Arial" w:hAnsi="Arial"/>
          <w:sz w:val="20"/>
          <w:szCs w:val="20"/>
        </w:rPr>
        <w:t>Več:</w:t>
      </w:r>
    </w:p>
    <w:p w14:paraId="60747C13" w14:textId="38766E47" w:rsidR="00501C6A" w:rsidRDefault="00EC2AA1" w:rsidP="00501C6A">
      <w:pPr>
        <w:jc w:val="both"/>
        <w:rPr>
          <w:rStyle w:val="Hyperlink"/>
          <w:rFonts w:ascii="Arial" w:hAnsi="Arial"/>
          <w:sz w:val="20"/>
          <w:szCs w:val="20"/>
        </w:rPr>
      </w:pPr>
      <w:hyperlink r:id="rId13" w:history="1">
        <w:r w:rsidR="00501C6A" w:rsidRPr="0058189B">
          <w:rPr>
            <w:rStyle w:val="Hyperlink"/>
            <w:rFonts w:ascii="Arial" w:hAnsi="Arial"/>
            <w:sz w:val="20"/>
            <w:szCs w:val="20"/>
          </w:rPr>
          <w:t>Program dela</w:t>
        </w:r>
      </w:hyperlink>
    </w:p>
    <w:p w14:paraId="32716147" w14:textId="77777777" w:rsidR="00501C6A" w:rsidRDefault="00501C6A" w:rsidP="00501C6A">
      <w:pPr>
        <w:jc w:val="both"/>
        <w:rPr>
          <w:rStyle w:val="Hyperlink"/>
          <w:rFonts w:ascii="Arial" w:hAnsi="Arial"/>
          <w:sz w:val="20"/>
          <w:szCs w:val="20"/>
        </w:rPr>
      </w:pPr>
    </w:p>
    <w:p w14:paraId="0E4E4806" w14:textId="6C2DC7B9" w:rsidR="00501C6A" w:rsidRDefault="00501C6A" w:rsidP="00501C6A">
      <w:pPr>
        <w:jc w:val="both"/>
        <w:rPr>
          <w:rStyle w:val="Hyperlink"/>
          <w:rFonts w:ascii="Arial" w:hAnsi="Arial"/>
          <w:sz w:val="20"/>
          <w:szCs w:val="20"/>
        </w:rPr>
      </w:pPr>
    </w:p>
    <w:p w14:paraId="365A2300" w14:textId="77777777" w:rsidR="00501C6A" w:rsidRPr="008C2728" w:rsidRDefault="00501C6A" w:rsidP="00501C6A">
      <w:pPr>
        <w:jc w:val="both"/>
        <w:rPr>
          <w:rFonts w:ascii="Arial" w:hAnsi="Arial"/>
          <w:b/>
          <w:bCs/>
          <w:sz w:val="20"/>
          <w:szCs w:val="20"/>
        </w:rPr>
      </w:pPr>
      <w:r w:rsidRPr="008C2728">
        <w:rPr>
          <w:rFonts w:ascii="Arial" w:hAnsi="Arial"/>
          <w:b/>
          <w:bCs/>
          <w:sz w:val="20"/>
          <w:szCs w:val="20"/>
        </w:rPr>
        <w:t>Odobrena je slovenska shema za podporo podjetjem v sektorju javnega prevoza</w:t>
      </w:r>
    </w:p>
    <w:p w14:paraId="3AFD842D" w14:textId="5C30C23B" w:rsidR="00501C6A" w:rsidRDefault="00501C6A" w:rsidP="00501C6A">
      <w:pPr>
        <w:jc w:val="both"/>
        <w:rPr>
          <w:rFonts w:ascii="Arial" w:hAnsi="Arial"/>
          <w:sz w:val="20"/>
          <w:szCs w:val="20"/>
        </w:rPr>
      </w:pPr>
    </w:p>
    <w:p w14:paraId="559833AA" w14:textId="0A459137" w:rsidR="00DA7491" w:rsidRDefault="00DA7491" w:rsidP="00501C6A">
      <w:pPr>
        <w:jc w:val="both"/>
        <w:rPr>
          <w:rFonts w:ascii="Arial" w:hAnsi="Arial"/>
          <w:sz w:val="20"/>
          <w:szCs w:val="20"/>
        </w:rPr>
      </w:pPr>
      <w:r>
        <w:rPr>
          <w:rFonts w:eastAsia="Times New Roman"/>
          <w:noProof/>
        </w:rPr>
        <w:lastRenderedPageBreak/>
        <w:drawing>
          <wp:inline distT="0" distB="0" distL="0" distR="0" wp14:anchorId="18E56E2F" wp14:editId="5ECD6FC4">
            <wp:extent cx="2540000" cy="10223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48498897" w14:textId="77777777" w:rsidR="00DA7491" w:rsidRPr="003F6E88" w:rsidRDefault="00DA7491" w:rsidP="00501C6A">
      <w:pPr>
        <w:jc w:val="both"/>
        <w:rPr>
          <w:rFonts w:ascii="Arial" w:hAnsi="Arial"/>
          <w:sz w:val="20"/>
          <w:szCs w:val="20"/>
        </w:rPr>
      </w:pPr>
    </w:p>
    <w:p w14:paraId="2AC48FA3" w14:textId="77777777" w:rsidR="00501C6A" w:rsidRPr="003F6E88" w:rsidRDefault="00501C6A" w:rsidP="00501C6A">
      <w:pPr>
        <w:jc w:val="both"/>
        <w:rPr>
          <w:rFonts w:ascii="Arial" w:hAnsi="Arial"/>
          <w:sz w:val="20"/>
          <w:szCs w:val="20"/>
        </w:rPr>
      </w:pPr>
      <w:r w:rsidRPr="003F6E88">
        <w:rPr>
          <w:rFonts w:ascii="Arial" w:hAnsi="Arial"/>
          <w:sz w:val="20"/>
          <w:szCs w:val="20"/>
        </w:rPr>
        <w:t xml:space="preserve">Evropska komisija je odobrila 20 milijonov evrov vredno slovensko shemo za podporo podjetjem, ki delujejo v sektorju javnega prevoza, prizadetim zaradi izbruha </w:t>
      </w:r>
      <w:proofErr w:type="spellStart"/>
      <w:r w:rsidRPr="003F6E88">
        <w:rPr>
          <w:rFonts w:ascii="Arial" w:hAnsi="Arial"/>
          <w:sz w:val="20"/>
          <w:szCs w:val="20"/>
        </w:rPr>
        <w:t>koronavirusa</w:t>
      </w:r>
      <w:proofErr w:type="spellEnd"/>
      <w:r w:rsidRPr="003F6E88">
        <w:rPr>
          <w:rFonts w:ascii="Arial" w:hAnsi="Arial"/>
          <w:sz w:val="20"/>
          <w:szCs w:val="20"/>
        </w:rPr>
        <w:t>.</w:t>
      </w:r>
    </w:p>
    <w:p w14:paraId="51C71929" w14:textId="77777777" w:rsidR="00501C6A" w:rsidRPr="003F6E88" w:rsidRDefault="00501C6A" w:rsidP="00501C6A">
      <w:pPr>
        <w:jc w:val="both"/>
        <w:rPr>
          <w:rFonts w:ascii="Arial" w:hAnsi="Arial"/>
          <w:sz w:val="20"/>
          <w:szCs w:val="20"/>
        </w:rPr>
      </w:pPr>
    </w:p>
    <w:p w14:paraId="5E1D1588" w14:textId="77777777" w:rsidR="00501C6A" w:rsidRPr="003F6E88" w:rsidRDefault="00501C6A" w:rsidP="00501C6A">
      <w:pPr>
        <w:jc w:val="both"/>
        <w:rPr>
          <w:rFonts w:ascii="Arial" w:hAnsi="Arial"/>
          <w:sz w:val="20"/>
          <w:szCs w:val="20"/>
        </w:rPr>
      </w:pPr>
      <w:r w:rsidRPr="003F6E88">
        <w:rPr>
          <w:rFonts w:ascii="Arial" w:hAnsi="Arial"/>
          <w:sz w:val="20"/>
          <w:szCs w:val="20"/>
        </w:rPr>
        <w:t>Več:</w:t>
      </w:r>
    </w:p>
    <w:p w14:paraId="1CCFE1DE" w14:textId="42AD9F35" w:rsidR="00501C6A" w:rsidRDefault="00EC2AA1" w:rsidP="00501C6A">
      <w:pPr>
        <w:jc w:val="both"/>
        <w:rPr>
          <w:rFonts w:ascii="Arial" w:hAnsi="Arial"/>
          <w:sz w:val="20"/>
          <w:szCs w:val="20"/>
        </w:rPr>
      </w:pPr>
      <w:hyperlink r:id="rId15" w:history="1">
        <w:r w:rsidR="00501C6A" w:rsidRPr="003F6E88">
          <w:rPr>
            <w:rStyle w:val="Hyperlink"/>
            <w:rFonts w:ascii="Arial" w:hAnsi="Arial"/>
            <w:sz w:val="20"/>
            <w:szCs w:val="20"/>
          </w:rPr>
          <w:t>Odločitev Evropske komisije</w:t>
        </w:r>
      </w:hyperlink>
      <w:r w:rsidR="00501C6A" w:rsidRPr="003F6E88">
        <w:rPr>
          <w:rFonts w:ascii="Arial" w:hAnsi="Arial"/>
          <w:sz w:val="20"/>
          <w:szCs w:val="20"/>
        </w:rPr>
        <w:t xml:space="preserve"> </w:t>
      </w:r>
    </w:p>
    <w:p w14:paraId="19C199DC" w14:textId="77777777" w:rsidR="00501C6A" w:rsidRPr="003F6E88" w:rsidRDefault="00501C6A" w:rsidP="00501C6A">
      <w:pPr>
        <w:jc w:val="both"/>
        <w:rPr>
          <w:rFonts w:ascii="Arial" w:hAnsi="Arial"/>
          <w:sz w:val="20"/>
          <w:szCs w:val="20"/>
        </w:rPr>
      </w:pPr>
    </w:p>
    <w:p w14:paraId="3353F13B" w14:textId="5DB07B05" w:rsidR="00501C6A" w:rsidRDefault="00501C6A" w:rsidP="00501C6A">
      <w:pPr>
        <w:jc w:val="both"/>
        <w:rPr>
          <w:rFonts w:ascii="Arial" w:hAnsi="Arial"/>
          <w:sz w:val="20"/>
          <w:szCs w:val="20"/>
        </w:rPr>
      </w:pPr>
    </w:p>
    <w:p w14:paraId="132C26B5" w14:textId="29E0AABF" w:rsidR="00501C6A" w:rsidRDefault="00501C6A" w:rsidP="00501C6A">
      <w:pPr>
        <w:jc w:val="both"/>
        <w:rPr>
          <w:rFonts w:ascii="Arial" w:hAnsi="Arial"/>
          <w:b/>
          <w:bCs/>
          <w:sz w:val="20"/>
          <w:szCs w:val="20"/>
        </w:rPr>
      </w:pPr>
      <w:r w:rsidRPr="008C2728">
        <w:rPr>
          <w:rFonts w:ascii="Arial" w:hAnsi="Arial"/>
          <w:b/>
          <w:bCs/>
          <w:sz w:val="20"/>
          <w:szCs w:val="20"/>
        </w:rPr>
        <w:t xml:space="preserve">Skupina </w:t>
      </w:r>
      <w:proofErr w:type="spellStart"/>
      <w:r w:rsidRPr="008C2728">
        <w:rPr>
          <w:rFonts w:ascii="Arial" w:hAnsi="Arial"/>
          <w:b/>
          <w:bCs/>
          <w:sz w:val="20"/>
          <w:szCs w:val="20"/>
        </w:rPr>
        <w:t>Tikehau</w:t>
      </w:r>
      <w:proofErr w:type="spellEnd"/>
      <w:r w:rsidRPr="008C2728">
        <w:rPr>
          <w:rFonts w:ascii="Arial" w:hAnsi="Arial"/>
          <w:b/>
          <w:bCs/>
          <w:sz w:val="20"/>
          <w:szCs w:val="20"/>
        </w:rPr>
        <w:t xml:space="preserve"> </w:t>
      </w:r>
      <w:proofErr w:type="spellStart"/>
      <w:r w:rsidRPr="008C2728">
        <w:rPr>
          <w:rFonts w:ascii="Arial" w:hAnsi="Arial"/>
          <w:b/>
          <w:bCs/>
          <w:sz w:val="20"/>
          <w:szCs w:val="20"/>
        </w:rPr>
        <w:t>Capital</w:t>
      </w:r>
      <w:proofErr w:type="spellEnd"/>
      <w:r w:rsidRPr="008C2728">
        <w:rPr>
          <w:rFonts w:ascii="Arial" w:hAnsi="Arial"/>
          <w:b/>
          <w:bCs/>
          <w:sz w:val="20"/>
          <w:szCs w:val="20"/>
        </w:rPr>
        <w:t xml:space="preserve"> namerava s podporo EU vlagati v mala in srednja podjetja</w:t>
      </w:r>
    </w:p>
    <w:p w14:paraId="2B032AF8" w14:textId="33942DCF" w:rsidR="00DA7491" w:rsidRDefault="00DA7491" w:rsidP="00501C6A">
      <w:pPr>
        <w:jc w:val="both"/>
        <w:rPr>
          <w:rFonts w:ascii="Arial" w:hAnsi="Arial"/>
          <w:b/>
          <w:bCs/>
          <w:sz w:val="20"/>
          <w:szCs w:val="20"/>
        </w:rPr>
      </w:pPr>
    </w:p>
    <w:p w14:paraId="56AE1D23" w14:textId="621DECE3" w:rsidR="00DA7491" w:rsidRPr="008C2728" w:rsidRDefault="00DA7491" w:rsidP="00501C6A">
      <w:pPr>
        <w:jc w:val="both"/>
        <w:rPr>
          <w:rFonts w:ascii="Arial" w:hAnsi="Arial"/>
          <w:b/>
          <w:bCs/>
          <w:sz w:val="20"/>
          <w:szCs w:val="20"/>
        </w:rPr>
      </w:pPr>
      <w:r>
        <w:rPr>
          <w:rFonts w:ascii="Arial" w:eastAsia="Times New Roman" w:hAnsi="Arial"/>
          <w:b/>
          <w:bCs/>
          <w:noProof/>
          <w:color w:val="606060"/>
          <w:sz w:val="18"/>
          <w:szCs w:val="18"/>
        </w:rPr>
        <w:drawing>
          <wp:inline distT="0" distB="0" distL="0" distR="0" wp14:anchorId="08E4B71C" wp14:editId="26D8B17E">
            <wp:extent cx="2540000" cy="10223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1FD5A0C8" w14:textId="77777777" w:rsidR="00501C6A" w:rsidRPr="003F6E88" w:rsidRDefault="00501C6A" w:rsidP="00501C6A">
      <w:pPr>
        <w:jc w:val="both"/>
        <w:rPr>
          <w:rFonts w:ascii="Arial" w:hAnsi="Arial"/>
          <w:sz w:val="20"/>
          <w:szCs w:val="20"/>
        </w:rPr>
      </w:pPr>
    </w:p>
    <w:p w14:paraId="6185E6E1" w14:textId="77777777" w:rsidR="00501C6A" w:rsidRPr="003F6E88" w:rsidRDefault="00501C6A" w:rsidP="00501C6A">
      <w:pPr>
        <w:jc w:val="both"/>
        <w:rPr>
          <w:rFonts w:ascii="Arial" w:hAnsi="Arial"/>
          <w:sz w:val="20"/>
          <w:szCs w:val="20"/>
        </w:rPr>
      </w:pPr>
      <w:r w:rsidRPr="003F6E88">
        <w:rPr>
          <w:rFonts w:ascii="Arial" w:hAnsi="Arial"/>
          <w:sz w:val="20"/>
          <w:szCs w:val="20"/>
        </w:rPr>
        <w:t xml:space="preserve">Evropska komisija je objavila, da bo skupina </w:t>
      </w:r>
      <w:proofErr w:type="spellStart"/>
      <w:r w:rsidRPr="003F6E88">
        <w:rPr>
          <w:rFonts w:ascii="Arial" w:hAnsi="Arial"/>
          <w:sz w:val="20"/>
          <w:szCs w:val="20"/>
        </w:rPr>
        <w:t>Tikehau</w:t>
      </w:r>
      <w:proofErr w:type="spellEnd"/>
      <w:r w:rsidRPr="003F6E88">
        <w:rPr>
          <w:rFonts w:ascii="Arial" w:hAnsi="Arial"/>
          <w:sz w:val="20"/>
          <w:szCs w:val="20"/>
        </w:rPr>
        <w:t xml:space="preserve"> </w:t>
      </w:r>
      <w:proofErr w:type="spellStart"/>
      <w:r w:rsidRPr="003F6E88">
        <w:rPr>
          <w:rFonts w:ascii="Arial" w:hAnsi="Arial"/>
          <w:sz w:val="20"/>
          <w:szCs w:val="20"/>
        </w:rPr>
        <w:t>Capital</w:t>
      </w:r>
      <w:proofErr w:type="spellEnd"/>
      <w:r w:rsidRPr="003F6E88">
        <w:rPr>
          <w:rFonts w:ascii="Arial" w:hAnsi="Arial"/>
          <w:sz w:val="20"/>
          <w:szCs w:val="20"/>
        </w:rPr>
        <w:t xml:space="preserve"> s podporo Evropskega investicijskega sklada (EIF) investirala v evropska mala in srednja podjetja, ki prispevajo k trajnostnemu gospodarskemu prehodu Evrope. Člani lahko dobijo več informacij na SBRA.</w:t>
      </w:r>
    </w:p>
    <w:p w14:paraId="68F737DA" w14:textId="77777777" w:rsidR="00501C6A" w:rsidRPr="003F6E88" w:rsidRDefault="00501C6A" w:rsidP="00501C6A">
      <w:pPr>
        <w:jc w:val="both"/>
        <w:rPr>
          <w:rFonts w:ascii="Arial" w:hAnsi="Arial"/>
          <w:sz w:val="20"/>
          <w:szCs w:val="20"/>
        </w:rPr>
      </w:pPr>
    </w:p>
    <w:p w14:paraId="6F269889" w14:textId="77777777" w:rsidR="00501C6A" w:rsidRPr="003F6E88" w:rsidRDefault="00501C6A" w:rsidP="00501C6A">
      <w:pPr>
        <w:jc w:val="both"/>
        <w:rPr>
          <w:rFonts w:ascii="Arial" w:hAnsi="Arial"/>
          <w:sz w:val="20"/>
          <w:szCs w:val="20"/>
        </w:rPr>
      </w:pPr>
      <w:r w:rsidRPr="003F6E88">
        <w:rPr>
          <w:rFonts w:ascii="Arial" w:hAnsi="Arial"/>
          <w:sz w:val="20"/>
          <w:szCs w:val="20"/>
        </w:rPr>
        <w:t>Več:</w:t>
      </w:r>
    </w:p>
    <w:p w14:paraId="36B6A0A7" w14:textId="77777777" w:rsidR="00501C6A" w:rsidRPr="003F6E88" w:rsidRDefault="00EC2AA1" w:rsidP="00501C6A">
      <w:pPr>
        <w:jc w:val="both"/>
        <w:rPr>
          <w:rFonts w:ascii="Arial" w:hAnsi="Arial"/>
          <w:sz w:val="20"/>
          <w:szCs w:val="20"/>
        </w:rPr>
      </w:pPr>
      <w:hyperlink r:id="rId17" w:history="1">
        <w:r w:rsidR="00501C6A" w:rsidRPr="003F6E88">
          <w:rPr>
            <w:rStyle w:val="Hyperlink"/>
            <w:rFonts w:ascii="Arial" w:hAnsi="Arial"/>
            <w:sz w:val="20"/>
            <w:szCs w:val="20"/>
          </w:rPr>
          <w:t>Sporočilo Evropske komisije</w:t>
        </w:r>
      </w:hyperlink>
    </w:p>
    <w:p w14:paraId="566C48A8" w14:textId="0E2157C3" w:rsidR="00501C6A" w:rsidRDefault="00501C6A" w:rsidP="00501C6A">
      <w:pPr>
        <w:jc w:val="both"/>
        <w:rPr>
          <w:rFonts w:ascii="Arial" w:hAnsi="Arial"/>
          <w:sz w:val="20"/>
          <w:szCs w:val="20"/>
        </w:rPr>
      </w:pPr>
    </w:p>
    <w:p w14:paraId="303098C6" w14:textId="5361C1F7" w:rsidR="008C2728" w:rsidRDefault="008C2728" w:rsidP="00501C6A">
      <w:pPr>
        <w:jc w:val="both"/>
        <w:rPr>
          <w:rFonts w:ascii="Arial" w:hAnsi="Arial"/>
          <w:sz w:val="20"/>
          <w:szCs w:val="20"/>
        </w:rPr>
      </w:pPr>
    </w:p>
    <w:p w14:paraId="050F276E" w14:textId="77777777" w:rsidR="008C2728" w:rsidRPr="008C2728" w:rsidRDefault="008C2728" w:rsidP="008C2728">
      <w:pPr>
        <w:jc w:val="both"/>
        <w:rPr>
          <w:rFonts w:ascii="Arial" w:hAnsi="Arial"/>
          <w:b/>
          <w:bCs/>
          <w:sz w:val="20"/>
          <w:szCs w:val="20"/>
        </w:rPr>
      </w:pPr>
      <w:r w:rsidRPr="008C2728">
        <w:rPr>
          <w:rFonts w:ascii="Arial" w:hAnsi="Arial"/>
          <w:b/>
          <w:bCs/>
          <w:sz w:val="20"/>
          <w:szCs w:val="20"/>
        </w:rPr>
        <w:t>Javno posvetovanje o revidiranih smernicah za Vseevropsko prometno omrežje (TEN-T)</w:t>
      </w:r>
    </w:p>
    <w:p w14:paraId="297B01F7" w14:textId="77777777" w:rsidR="00DA7491" w:rsidRDefault="00DA7491" w:rsidP="008C2728">
      <w:pPr>
        <w:jc w:val="both"/>
        <w:rPr>
          <w:rFonts w:ascii="Arial" w:hAnsi="Arial"/>
          <w:sz w:val="20"/>
          <w:szCs w:val="20"/>
        </w:rPr>
      </w:pPr>
    </w:p>
    <w:p w14:paraId="316863CE" w14:textId="4A4A8FCA" w:rsidR="008C2728" w:rsidRDefault="00DA7491" w:rsidP="008C2728">
      <w:pPr>
        <w:jc w:val="both"/>
        <w:rPr>
          <w:rFonts w:ascii="Arial" w:hAnsi="Arial"/>
          <w:sz w:val="20"/>
          <w:szCs w:val="20"/>
        </w:rPr>
      </w:pPr>
      <w:r>
        <w:rPr>
          <w:rFonts w:eastAsia="Times New Roman"/>
          <w:noProof/>
        </w:rPr>
        <w:drawing>
          <wp:inline distT="0" distB="0" distL="0" distR="0" wp14:anchorId="0BDD0D4C" wp14:editId="3A53D3C2">
            <wp:extent cx="2540000" cy="1022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4C2770CA" w14:textId="77777777" w:rsidR="00DA7491" w:rsidRPr="003F6E88" w:rsidRDefault="00DA7491" w:rsidP="008C2728">
      <w:pPr>
        <w:jc w:val="both"/>
        <w:rPr>
          <w:rFonts w:ascii="Arial" w:hAnsi="Arial"/>
          <w:sz w:val="20"/>
          <w:szCs w:val="20"/>
        </w:rPr>
      </w:pPr>
    </w:p>
    <w:p w14:paraId="0CC99C32" w14:textId="77777777" w:rsidR="008C2728" w:rsidRPr="003F6E88" w:rsidRDefault="008C2728" w:rsidP="008C2728">
      <w:pPr>
        <w:jc w:val="both"/>
        <w:rPr>
          <w:rFonts w:ascii="Arial" w:hAnsi="Arial"/>
          <w:sz w:val="20"/>
          <w:szCs w:val="20"/>
        </w:rPr>
      </w:pPr>
      <w:r w:rsidRPr="003F6E88">
        <w:rPr>
          <w:rFonts w:ascii="Arial" w:hAnsi="Arial"/>
          <w:sz w:val="20"/>
          <w:szCs w:val="20"/>
        </w:rPr>
        <w:t xml:space="preserve">Evropska komisija prek javnega posvetovanja do 5. Maja zbira mnenja in predloge o revidiranih smernicah za Vseevropsko prometno omrežje (TEN-T). </w:t>
      </w:r>
    </w:p>
    <w:p w14:paraId="2D79F325" w14:textId="77777777" w:rsidR="008C2728" w:rsidRPr="003F6E88" w:rsidRDefault="008C2728" w:rsidP="008C2728">
      <w:pPr>
        <w:jc w:val="both"/>
        <w:rPr>
          <w:rFonts w:ascii="Arial" w:hAnsi="Arial"/>
          <w:sz w:val="20"/>
          <w:szCs w:val="20"/>
        </w:rPr>
      </w:pPr>
    </w:p>
    <w:p w14:paraId="3A71A922" w14:textId="77777777" w:rsidR="008C2728" w:rsidRPr="003F6E88" w:rsidRDefault="008C2728" w:rsidP="008C2728">
      <w:pPr>
        <w:jc w:val="both"/>
        <w:rPr>
          <w:rFonts w:ascii="Arial" w:hAnsi="Arial"/>
          <w:sz w:val="20"/>
          <w:szCs w:val="20"/>
        </w:rPr>
      </w:pPr>
      <w:r w:rsidRPr="003F6E88">
        <w:rPr>
          <w:rFonts w:ascii="Arial" w:hAnsi="Arial"/>
          <w:sz w:val="20"/>
          <w:szCs w:val="20"/>
        </w:rPr>
        <w:t>Več:</w:t>
      </w:r>
    </w:p>
    <w:p w14:paraId="35725D43" w14:textId="77777777" w:rsidR="008C2728" w:rsidRPr="003F6E88" w:rsidRDefault="00EC2AA1" w:rsidP="008C2728">
      <w:pPr>
        <w:jc w:val="both"/>
        <w:rPr>
          <w:rFonts w:ascii="Arial" w:hAnsi="Arial"/>
          <w:sz w:val="20"/>
          <w:szCs w:val="20"/>
        </w:rPr>
      </w:pPr>
      <w:hyperlink r:id="rId19" w:history="1">
        <w:r w:rsidR="008C2728" w:rsidRPr="003F6E88">
          <w:rPr>
            <w:rStyle w:val="Hyperlink"/>
            <w:rFonts w:ascii="Arial" w:hAnsi="Arial"/>
            <w:sz w:val="20"/>
            <w:szCs w:val="20"/>
          </w:rPr>
          <w:t>Spletna stran javnega posvetovanja</w:t>
        </w:r>
      </w:hyperlink>
      <w:r w:rsidR="008C2728" w:rsidRPr="003F6E88">
        <w:rPr>
          <w:rFonts w:ascii="Arial" w:hAnsi="Arial"/>
          <w:sz w:val="20"/>
          <w:szCs w:val="20"/>
        </w:rPr>
        <w:t xml:space="preserve"> </w:t>
      </w:r>
    </w:p>
    <w:p w14:paraId="7F7099FE" w14:textId="4FDD237A" w:rsidR="008C2728" w:rsidRDefault="008C2728" w:rsidP="008C2728">
      <w:pPr>
        <w:jc w:val="both"/>
        <w:rPr>
          <w:rFonts w:ascii="Arial" w:hAnsi="Arial"/>
          <w:sz w:val="20"/>
          <w:szCs w:val="20"/>
        </w:rPr>
      </w:pPr>
    </w:p>
    <w:p w14:paraId="71A6D004" w14:textId="77777777" w:rsidR="008C2728" w:rsidRPr="003F6E88" w:rsidRDefault="008C2728" w:rsidP="008C2728">
      <w:pPr>
        <w:jc w:val="both"/>
        <w:rPr>
          <w:rFonts w:ascii="Arial" w:hAnsi="Arial"/>
          <w:sz w:val="20"/>
          <w:szCs w:val="20"/>
        </w:rPr>
      </w:pPr>
    </w:p>
    <w:p w14:paraId="1DD0B07E" w14:textId="3115B08F" w:rsidR="008C2728" w:rsidRDefault="008C2728" w:rsidP="008C2728">
      <w:pPr>
        <w:jc w:val="both"/>
        <w:rPr>
          <w:rFonts w:ascii="Arial" w:hAnsi="Arial"/>
          <w:b/>
          <w:bCs/>
          <w:sz w:val="20"/>
          <w:szCs w:val="20"/>
        </w:rPr>
      </w:pPr>
      <w:r w:rsidRPr="008C2728">
        <w:rPr>
          <w:rFonts w:ascii="Arial" w:hAnsi="Arial"/>
          <w:b/>
          <w:bCs/>
          <w:sz w:val="20"/>
          <w:szCs w:val="20"/>
        </w:rPr>
        <w:t>Sodba sodišča EU glede opravljanja pristaniškega dela</w:t>
      </w:r>
    </w:p>
    <w:p w14:paraId="28232D9A" w14:textId="689923A4" w:rsidR="00DA7491" w:rsidRDefault="00DA7491" w:rsidP="008C2728">
      <w:pPr>
        <w:jc w:val="both"/>
        <w:rPr>
          <w:rFonts w:ascii="Arial" w:hAnsi="Arial"/>
          <w:b/>
          <w:bCs/>
          <w:sz w:val="20"/>
          <w:szCs w:val="20"/>
        </w:rPr>
      </w:pPr>
    </w:p>
    <w:p w14:paraId="55F93B58" w14:textId="5B64D1B0" w:rsidR="00DA7491" w:rsidRPr="008C2728" w:rsidRDefault="00DA7491" w:rsidP="008C2728">
      <w:pPr>
        <w:jc w:val="both"/>
        <w:rPr>
          <w:rFonts w:ascii="Arial" w:hAnsi="Arial"/>
          <w:b/>
          <w:bCs/>
          <w:sz w:val="20"/>
          <w:szCs w:val="20"/>
        </w:rPr>
      </w:pPr>
      <w:r>
        <w:rPr>
          <w:rFonts w:ascii="Arial" w:eastAsia="Times New Roman" w:hAnsi="Arial"/>
          <w:b/>
          <w:bCs/>
          <w:noProof/>
          <w:color w:val="606060"/>
          <w:sz w:val="18"/>
          <w:szCs w:val="18"/>
        </w:rPr>
        <w:drawing>
          <wp:inline distT="0" distB="0" distL="0" distR="0" wp14:anchorId="78845F82" wp14:editId="508A0EC1">
            <wp:extent cx="2540000" cy="1022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6A0F9821" w14:textId="77777777" w:rsidR="008C2728" w:rsidRPr="003F6E88" w:rsidRDefault="008C2728" w:rsidP="008C2728">
      <w:pPr>
        <w:jc w:val="both"/>
        <w:rPr>
          <w:rFonts w:ascii="Arial" w:hAnsi="Arial"/>
          <w:sz w:val="20"/>
          <w:szCs w:val="20"/>
        </w:rPr>
      </w:pPr>
    </w:p>
    <w:p w14:paraId="734C1954" w14:textId="77777777" w:rsidR="008C2728" w:rsidRPr="003F6E88" w:rsidRDefault="008C2728" w:rsidP="008C2728">
      <w:pPr>
        <w:jc w:val="both"/>
        <w:rPr>
          <w:rFonts w:ascii="Arial" w:hAnsi="Arial"/>
          <w:sz w:val="20"/>
          <w:szCs w:val="20"/>
        </w:rPr>
      </w:pPr>
      <w:r w:rsidRPr="003F6E88">
        <w:rPr>
          <w:rFonts w:ascii="Arial" w:hAnsi="Arial"/>
          <w:sz w:val="20"/>
          <w:szCs w:val="20"/>
        </w:rPr>
        <w:t>Zakon, v skladu s katerim lahko pristaniško delo opravljajo le priznani delavci, je lahko v skladu s pravom Unije, če je njegov namen zagotavljanje varnosti na pristaniških območjih in preprečevanje nesreč pri delu, vendar sodelovanje paritetne upravne komisije pri priznavanju pristaniških delavcev ni niti nujno niti primerno za uresničitev zastavljenega cilja, je odločilo Sodišče EU.</w:t>
      </w:r>
    </w:p>
    <w:p w14:paraId="4974A892" w14:textId="77777777" w:rsidR="008C2728" w:rsidRPr="003F6E88" w:rsidRDefault="008C2728" w:rsidP="008C2728">
      <w:pPr>
        <w:jc w:val="both"/>
        <w:rPr>
          <w:rFonts w:ascii="Arial" w:hAnsi="Arial"/>
          <w:sz w:val="20"/>
          <w:szCs w:val="20"/>
        </w:rPr>
      </w:pPr>
    </w:p>
    <w:p w14:paraId="1B73C906" w14:textId="77777777" w:rsidR="008C2728" w:rsidRPr="003F6E88" w:rsidRDefault="008C2728" w:rsidP="008C2728">
      <w:pPr>
        <w:jc w:val="both"/>
        <w:rPr>
          <w:rFonts w:ascii="Arial" w:hAnsi="Arial"/>
          <w:sz w:val="20"/>
          <w:szCs w:val="20"/>
        </w:rPr>
      </w:pPr>
      <w:r w:rsidRPr="003F6E88">
        <w:rPr>
          <w:rFonts w:ascii="Arial" w:hAnsi="Arial"/>
          <w:sz w:val="20"/>
          <w:szCs w:val="20"/>
        </w:rPr>
        <w:t>Več:</w:t>
      </w:r>
    </w:p>
    <w:p w14:paraId="43F3B8CE" w14:textId="77777777" w:rsidR="008C2728" w:rsidRPr="003F6E88" w:rsidRDefault="00EC2AA1" w:rsidP="008C2728">
      <w:pPr>
        <w:jc w:val="both"/>
        <w:rPr>
          <w:rFonts w:ascii="Arial" w:hAnsi="Arial"/>
          <w:sz w:val="20"/>
          <w:szCs w:val="20"/>
        </w:rPr>
      </w:pPr>
      <w:hyperlink r:id="rId21" w:history="1">
        <w:r w:rsidR="008C2728" w:rsidRPr="003F6E88">
          <w:rPr>
            <w:rStyle w:val="Hyperlink"/>
            <w:rFonts w:ascii="Arial" w:hAnsi="Arial"/>
            <w:sz w:val="20"/>
            <w:szCs w:val="20"/>
          </w:rPr>
          <w:t>Sodba</w:t>
        </w:r>
      </w:hyperlink>
    </w:p>
    <w:p w14:paraId="685AF8FE" w14:textId="77777777" w:rsidR="008C2728" w:rsidRPr="0058189B" w:rsidRDefault="008C2728" w:rsidP="00501C6A">
      <w:pPr>
        <w:jc w:val="both"/>
        <w:rPr>
          <w:rFonts w:ascii="Arial" w:hAnsi="Arial"/>
          <w:sz w:val="20"/>
          <w:szCs w:val="20"/>
        </w:rPr>
      </w:pPr>
    </w:p>
    <w:p w14:paraId="7157F21F" w14:textId="4ED9EB07" w:rsidR="00501C6A" w:rsidRDefault="00501C6A"/>
    <w:p w14:paraId="1E6EE317" w14:textId="77777777" w:rsidR="008C2728" w:rsidRPr="008C2728" w:rsidRDefault="008C2728" w:rsidP="008C2728">
      <w:pPr>
        <w:jc w:val="both"/>
        <w:rPr>
          <w:rFonts w:ascii="Arial" w:hAnsi="Arial"/>
          <w:b/>
          <w:bCs/>
          <w:sz w:val="20"/>
          <w:szCs w:val="20"/>
        </w:rPr>
      </w:pPr>
      <w:r w:rsidRPr="008C2728">
        <w:rPr>
          <w:rFonts w:ascii="Arial" w:hAnsi="Arial"/>
          <w:b/>
          <w:bCs/>
          <w:sz w:val="20"/>
          <w:szCs w:val="20"/>
        </w:rPr>
        <w:t xml:space="preserve">Spletna tržnica </w:t>
      </w:r>
      <w:proofErr w:type="spellStart"/>
      <w:r w:rsidRPr="008C2728">
        <w:rPr>
          <w:rFonts w:ascii="Arial" w:hAnsi="Arial"/>
          <w:b/>
          <w:bCs/>
          <w:sz w:val="20"/>
          <w:szCs w:val="20"/>
        </w:rPr>
        <w:t>AliExpress</w:t>
      </w:r>
      <w:proofErr w:type="spellEnd"/>
      <w:r w:rsidRPr="008C2728">
        <w:rPr>
          <w:rFonts w:ascii="Arial" w:hAnsi="Arial"/>
          <w:b/>
          <w:bCs/>
          <w:sz w:val="20"/>
          <w:szCs w:val="20"/>
        </w:rPr>
        <w:t xml:space="preserve"> namerava spoštovati pravila EU za varstvo potrošnikov</w:t>
      </w:r>
    </w:p>
    <w:p w14:paraId="1F0A9B09" w14:textId="61413B96" w:rsidR="008C2728" w:rsidRDefault="008C2728" w:rsidP="008C2728">
      <w:pPr>
        <w:jc w:val="both"/>
        <w:rPr>
          <w:rFonts w:ascii="Arial" w:hAnsi="Arial"/>
          <w:sz w:val="20"/>
          <w:szCs w:val="20"/>
        </w:rPr>
      </w:pPr>
    </w:p>
    <w:p w14:paraId="1E97CB5A" w14:textId="645AB3CE" w:rsidR="00DA7491" w:rsidRDefault="00DA7491" w:rsidP="008C2728">
      <w:pPr>
        <w:jc w:val="both"/>
        <w:rPr>
          <w:rFonts w:ascii="Arial" w:hAnsi="Arial"/>
          <w:sz w:val="20"/>
          <w:szCs w:val="20"/>
        </w:rPr>
      </w:pPr>
      <w:r>
        <w:rPr>
          <w:rFonts w:eastAsia="Times New Roman"/>
          <w:noProof/>
        </w:rPr>
        <w:drawing>
          <wp:inline distT="0" distB="0" distL="0" distR="0" wp14:anchorId="08F3CB25" wp14:editId="78475A28">
            <wp:extent cx="2540000" cy="1022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69C5B86E" w14:textId="77777777" w:rsidR="00DA7491" w:rsidRPr="003F6E88" w:rsidRDefault="00DA7491" w:rsidP="008C2728">
      <w:pPr>
        <w:jc w:val="both"/>
        <w:rPr>
          <w:rFonts w:ascii="Arial" w:hAnsi="Arial"/>
          <w:sz w:val="20"/>
          <w:szCs w:val="20"/>
        </w:rPr>
      </w:pPr>
    </w:p>
    <w:p w14:paraId="74EA6C27" w14:textId="77777777" w:rsidR="008C2728" w:rsidRPr="003F6E88" w:rsidRDefault="008C2728" w:rsidP="008C2728">
      <w:pPr>
        <w:jc w:val="both"/>
        <w:rPr>
          <w:rFonts w:ascii="Arial" w:hAnsi="Arial"/>
          <w:sz w:val="20"/>
          <w:szCs w:val="20"/>
        </w:rPr>
      </w:pPr>
      <w:r w:rsidRPr="003F6E88">
        <w:rPr>
          <w:rFonts w:ascii="Arial" w:hAnsi="Arial"/>
          <w:sz w:val="20"/>
          <w:szCs w:val="20"/>
        </w:rPr>
        <w:t>Nizozemski urad za varstvo potrošnikov (ACM) je v sodelovanju z Evropsko komisijo in nacionalnimi organi v okviru mreže CPC (</w:t>
      </w:r>
      <w:proofErr w:type="spellStart"/>
      <w:r w:rsidRPr="003F6E88">
        <w:rPr>
          <w:rFonts w:ascii="Arial" w:hAnsi="Arial"/>
          <w:sz w:val="20"/>
          <w:szCs w:val="20"/>
        </w:rPr>
        <w:t>Consumer</w:t>
      </w:r>
      <w:proofErr w:type="spellEnd"/>
      <w:r w:rsidRPr="003F6E88">
        <w:rPr>
          <w:rFonts w:ascii="Arial" w:hAnsi="Arial"/>
          <w:sz w:val="20"/>
          <w:szCs w:val="20"/>
        </w:rPr>
        <w:t xml:space="preserve"> </w:t>
      </w:r>
      <w:proofErr w:type="spellStart"/>
      <w:r w:rsidRPr="003F6E88">
        <w:rPr>
          <w:rFonts w:ascii="Arial" w:hAnsi="Arial"/>
          <w:sz w:val="20"/>
          <w:szCs w:val="20"/>
        </w:rPr>
        <w:t>Protection</w:t>
      </w:r>
      <w:proofErr w:type="spellEnd"/>
      <w:r w:rsidRPr="003F6E88">
        <w:rPr>
          <w:rFonts w:ascii="Arial" w:hAnsi="Arial"/>
          <w:sz w:val="20"/>
          <w:szCs w:val="20"/>
        </w:rPr>
        <w:t xml:space="preserve"> </w:t>
      </w:r>
      <w:proofErr w:type="spellStart"/>
      <w:r w:rsidRPr="003F6E88">
        <w:rPr>
          <w:rFonts w:ascii="Arial" w:hAnsi="Arial"/>
          <w:sz w:val="20"/>
          <w:szCs w:val="20"/>
        </w:rPr>
        <w:t>Cooperation</w:t>
      </w:r>
      <w:proofErr w:type="spellEnd"/>
      <w:r w:rsidRPr="003F6E88">
        <w:rPr>
          <w:rFonts w:ascii="Arial" w:hAnsi="Arial"/>
          <w:sz w:val="20"/>
          <w:szCs w:val="20"/>
        </w:rPr>
        <w:t xml:space="preserve"> </w:t>
      </w:r>
      <w:proofErr w:type="spellStart"/>
      <w:r w:rsidRPr="003F6E88">
        <w:rPr>
          <w:rFonts w:ascii="Arial" w:hAnsi="Arial"/>
          <w:sz w:val="20"/>
          <w:szCs w:val="20"/>
        </w:rPr>
        <w:t>Network</w:t>
      </w:r>
      <w:proofErr w:type="spellEnd"/>
      <w:r w:rsidRPr="003F6E88">
        <w:rPr>
          <w:rFonts w:ascii="Arial" w:hAnsi="Arial"/>
          <w:sz w:val="20"/>
          <w:szCs w:val="20"/>
        </w:rPr>
        <w:t xml:space="preserve">) od spletne tržnice </w:t>
      </w:r>
      <w:proofErr w:type="spellStart"/>
      <w:r w:rsidRPr="003F6E88">
        <w:rPr>
          <w:rFonts w:ascii="Arial" w:hAnsi="Arial"/>
          <w:sz w:val="20"/>
          <w:szCs w:val="20"/>
        </w:rPr>
        <w:t>AliExpress</w:t>
      </w:r>
      <w:proofErr w:type="spellEnd"/>
      <w:r w:rsidRPr="003F6E88">
        <w:rPr>
          <w:rFonts w:ascii="Arial" w:hAnsi="Arial"/>
          <w:sz w:val="20"/>
          <w:szCs w:val="20"/>
        </w:rPr>
        <w:t xml:space="preserve">  dobil zagotovilo, da bo spoštovala pravila EU o varstvu potrošnikov. </w:t>
      </w:r>
    </w:p>
    <w:p w14:paraId="604403BC" w14:textId="77777777" w:rsidR="008C2728" w:rsidRPr="003F6E88" w:rsidRDefault="008C2728" w:rsidP="008C2728">
      <w:pPr>
        <w:jc w:val="both"/>
        <w:rPr>
          <w:rFonts w:ascii="Arial" w:hAnsi="Arial"/>
          <w:sz w:val="20"/>
          <w:szCs w:val="20"/>
        </w:rPr>
      </w:pPr>
    </w:p>
    <w:p w14:paraId="2C502EF8" w14:textId="77777777" w:rsidR="008C2728" w:rsidRPr="003F6E88" w:rsidRDefault="008C2728" w:rsidP="008C2728">
      <w:pPr>
        <w:jc w:val="both"/>
        <w:rPr>
          <w:rFonts w:ascii="Arial" w:hAnsi="Arial"/>
          <w:sz w:val="20"/>
          <w:szCs w:val="20"/>
        </w:rPr>
      </w:pPr>
      <w:r w:rsidRPr="003F6E88">
        <w:rPr>
          <w:rFonts w:ascii="Arial" w:hAnsi="Arial"/>
          <w:sz w:val="20"/>
          <w:szCs w:val="20"/>
        </w:rPr>
        <w:t>Več:</w:t>
      </w:r>
    </w:p>
    <w:p w14:paraId="1B26BA9C" w14:textId="77777777" w:rsidR="008C2728" w:rsidRPr="003F6E88" w:rsidRDefault="00EC2AA1" w:rsidP="008C2728">
      <w:pPr>
        <w:jc w:val="both"/>
        <w:rPr>
          <w:rFonts w:ascii="Arial" w:hAnsi="Arial"/>
          <w:sz w:val="20"/>
          <w:szCs w:val="20"/>
        </w:rPr>
      </w:pPr>
      <w:hyperlink r:id="rId23" w:history="1">
        <w:r w:rsidR="008C2728" w:rsidRPr="003F6E88">
          <w:rPr>
            <w:rStyle w:val="Hyperlink"/>
            <w:rFonts w:ascii="Arial" w:hAnsi="Arial"/>
            <w:sz w:val="20"/>
            <w:szCs w:val="20"/>
          </w:rPr>
          <w:t>Sporočilo ACM</w:t>
        </w:r>
      </w:hyperlink>
      <w:r w:rsidR="008C2728" w:rsidRPr="003F6E88">
        <w:rPr>
          <w:rFonts w:ascii="Arial" w:hAnsi="Arial"/>
          <w:sz w:val="20"/>
          <w:szCs w:val="20"/>
        </w:rPr>
        <w:t xml:space="preserve"> </w:t>
      </w:r>
    </w:p>
    <w:p w14:paraId="191A3BA5" w14:textId="482D9E7E" w:rsidR="008C2728" w:rsidRDefault="008C2728"/>
    <w:p w14:paraId="192628CF" w14:textId="67F8494A" w:rsidR="008C2728" w:rsidRDefault="008C2728"/>
    <w:p w14:paraId="443BF2E7" w14:textId="77777777" w:rsidR="008C2728" w:rsidRPr="008C2728" w:rsidRDefault="008C2728" w:rsidP="008C2728">
      <w:pPr>
        <w:jc w:val="both"/>
        <w:rPr>
          <w:rFonts w:ascii="Arial" w:hAnsi="Arial"/>
          <w:b/>
          <w:bCs/>
          <w:sz w:val="20"/>
          <w:szCs w:val="20"/>
        </w:rPr>
      </w:pPr>
      <w:r w:rsidRPr="008C2728">
        <w:rPr>
          <w:rFonts w:ascii="Arial" w:hAnsi="Arial"/>
          <w:b/>
          <w:bCs/>
          <w:sz w:val="20"/>
          <w:szCs w:val="20"/>
        </w:rPr>
        <w:t>Nova agenda EU za Sredozemlje</w:t>
      </w:r>
    </w:p>
    <w:p w14:paraId="4AE26E0B" w14:textId="77777777" w:rsidR="008C2728" w:rsidRPr="003F6E88" w:rsidRDefault="008C2728" w:rsidP="008C2728">
      <w:pPr>
        <w:jc w:val="both"/>
        <w:rPr>
          <w:rFonts w:ascii="Arial" w:hAnsi="Arial"/>
          <w:sz w:val="20"/>
          <w:szCs w:val="20"/>
        </w:rPr>
      </w:pPr>
    </w:p>
    <w:p w14:paraId="470F1200" w14:textId="55B0B89E" w:rsidR="00DA7491" w:rsidRDefault="00DA7491" w:rsidP="008C2728">
      <w:pPr>
        <w:jc w:val="both"/>
        <w:rPr>
          <w:rFonts w:ascii="Arial" w:hAnsi="Arial"/>
          <w:sz w:val="20"/>
          <w:szCs w:val="20"/>
        </w:rPr>
      </w:pPr>
      <w:r>
        <w:rPr>
          <w:rFonts w:ascii="Arial" w:eastAsia="Times New Roman" w:hAnsi="Arial"/>
          <w:b/>
          <w:bCs/>
          <w:noProof/>
          <w:color w:val="606060"/>
          <w:sz w:val="18"/>
          <w:szCs w:val="18"/>
        </w:rPr>
        <w:lastRenderedPageBreak/>
        <w:drawing>
          <wp:inline distT="0" distB="0" distL="0" distR="0" wp14:anchorId="3898AC6B" wp14:editId="43846CCF">
            <wp:extent cx="2540000" cy="1022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77A76647" w14:textId="77777777" w:rsidR="00DA7491" w:rsidRDefault="00DA7491" w:rsidP="008C2728">
      <w:pPr>
        <w:jc w:val="both"/>
        <w:rPr>
          <w:rFonts w:ascii="Arial" w:hAnsi="Arial"/>
          <w:sz w:val="20"/>
          <w:szCs w:val="20"/>
        </w:rPr>
      </w:pPr>
    </w:p>
    <w:p w14:paraId="6BA48BF0" w14:textId="06B0C8AC" w:rsidR="008C2728" w:rsidRPr="003F6E88" w:rsidRDefault="008C2728" w:rsidP="008C2728">
      <w:pPr>
        <w:jc w:val="both"/>
        <w:rPr>
          <w:rFonts w:ascii="Arial" w:hAnsi="Arial"/>
          <w:sz w:val="20"/>
          <w:szCs w:val="20"/>
        </w:rPr>
      </w:pPr>
      <w:r w:rsidRPr="003F6E88">
        <w:rPr>
          <w:rFonts w:ascii="Arial" w:hAnsi="Arial"/>
          <w:sz w:val="20"/>
          <w:szCs w:val="20"/>
        </w:rPr>
        <w:t>EU želi z novo agendo za Sredozemlje obnoviti in okrepiti strateško partnerstvo s partnericami iz južnega sosedstva. Vključuje poseben gospodarski in naložbeni načrt za spodbuditev dolgoročnega socialno-gospodarskega okrevanja v južnem sosedstvu. V okviru novega instrumenta EU za sosedstvo ter razvojno in mednarodno sodelovanje (NDICI) naj bi bilo za njegovo izvajanje dodeljenih do 7 milijard evrov za obdobje 2021–2027, kar bi lahko v naslednjem desetletju mobiliziralo do 30 milijard evrov zasebnih in javnih naložb v regiji.</w:t>
      </w:r>
    </w:p>
    <w:p w14:paraId="22995E44" w14:textId="77777777" w:rsidR="008C2728" w:rsidRPr="003F6E88" w:rsidRDefault="008C2728" w:rsidP="008C2728">
      <w:pPr>
        <w:jc w:val="both"/>
        <w:rPr>
          <w:rFonts w:ascii="Arial" w:hAnsi="Arial"/>
          <w:sz w:val="20"/>
          <w:szCs w:val="20"/>
        </w:rPr>
      </w:pPr>
    </w:p>
    <w:p w14:paraId="70C215B7" w14:textId="77777777" w:rsidR="008C2728" w:rsidRPr="003F6E88" w:rsidRDefault="008C2728" w:rsidP="008C2728">
      <w:pPr>
        <w:jc w:val="both"/>
        <w:rPr>
          <w:rFonts w:ascii="Arial" w:hAnsi="Arial"/>
          <w:sz w:val="20"/>
          <w:szCs w:val="20"/>
        </w:rPr>
      </w:pPr>
      <w:r w:rsidRPr="003F6E88">
        <w:rPr>
          <w:rFonts w:ascii="Arial" w:hAnsi="Arial"/>
          <w:sz w:val="20"/>
          <w:szCs w:val="20"/>
        </w:rPr>
        <w:t>Več:</w:t>
      </w:r>
    </w:p>
    <w:p w14:paraId="60C80477" w14:textId="77777777" w:rsidR="008C2728" w:rsidRPr="003F6E88" w:rsidRDefault="00EC2AA1" w:rsidP="008C2728">
      <w:pPr>
        <w:jc w:val="both"/>
        <w:rPr>
          <w:rFonts w:ascii="Arial" w:hAnsi="Arial"/>
          <w:sz w:val="20"/>
          <w:szCs w:val="20"/>
        </w:rPr>
      </w:pPr>
      <w:hyperlink r:id="rId25" w:history="1">
        <w:r w:rsidR="008C2728" w:rsidRPr="003F6E88">
          <w:rPr>
            <w:rStyle w:val="Hyperlink"/>
            <w:rFonts w:ascii="Arial" w:hAnsi="Arial"/>
            <w:sz w:val="20"/>
            <w:szCs w:val="20"/>
          </w:rPr>
          <w:t>Nova agenda za Sredozemlje</w:t>
        </w:r>
      </w:hyperlink>
    </w:p>
    <w:p w14:paraId="74603426" w14:textId="77777777" w:rsidR="008C2728" w:rsidRPr="003F6E88" w:rsidRDefault="008C2728" w:rsidP="008C2728">
      <w:pPr>
        <w:jc w:val="both"/>
        <w:rPr>
          <w:rFonts w:ascii="Arial" w:hAnsi="Arial"/>
          <w:sz w:val="20"/>
          <w:szCs w:val="20"/>
        </w:rPr>
      </w:pPr>
      <w:r w:rsidRPr="003F6E88">
        <w:rPr>
          <w:rFonts w:ascii="Arial" w:hAnsi="Arial"/>
          <w:sz w:val="20"/>
          <w:szCs w:val="20"/>
        </w:rPr>
        <w:t>in</w:t>
      </w:r>
    </w:p>
    <w:p w14:paraId="3B208FA6" w14:textId="29BD9DBA" w:rsidR="008C2728" w:rsidRDefault="00EC2AA1" w:rsidP="008C2728">
      <w:hyperlink r:id="rId26" w:history="1">
        <w:r w:rsidR="008C2728" w:rsidRPr="003F6E88">
          <w:rPr>
            <w:rStyle w:val="Hyperlink"/>
            <w:rFonts w:ascii="Arial" w:hAnsi="Arial"/>
            <w:sz w:val="20"/>
            <w:szCs w:val="20"/>
          </w:rPr>
          <w:t>Delovni dokument</w:t>
        </w:r>
      </w:hyperlink>
    </w:p>
    <w:sectPr w:rsidR="008C2728" w:rsidSect="00FB7C8A">
      <w:headerReference w:type="first" r:id="rId27"/>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08917" w14:textId="77777777" w:rsidR="00EC2AA1" w:rsidRDefault="00EC2AA1" w:rsidP="00DA7491">
      <w:r>
        <w:separator/>
      </w:r>
    </w:p>
  </w:endnote>
  <w:endnote w:type="continuationSeparator" w:id="0">
    <w:p w14:paraId="7FFD8E9C" w14:textId="77777777" w:rsidR="00EC2AA1" w:rsidRDefault="00EC2AA1" w:rsidP="00D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FD5C0" w14:textId="77777777" w:rsidR="00EC2AA1" w:rsidRDefault="00EC2AA1" w:rsidP="00DA7491">
      <w:r>
        <w:separator/>
      </w:r>
    </w:p>
  </w:footnote>
  <w:footnote w:type="continuationSeparator" w:id="0">
    <w:p w14:paraId="238163EF" w14:textId="77777777" w:rsidR="00EC2AA1" w:rsidRDefault="00EC2AA1" w:rsidP="00D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798D" w14:textId="1A41F99B" w:rsidR="00DA7491" w:rsidRDefault="00DA7491" w:rsidP="00DA7491">
    <w:pPr>
      <w:pStyle w:val="Header"/>
      <w:jc w:val="center"/>
    </w:pPr>
    <w:r>
      <w:rPr>
        <w:noProof/>
      </w:rPr>
      <w:drawing>
        <wp:inline distT="0" distB="0" distL="0" distR="0" wp14:anchorId="48391D68" wp14:editId="6012FF43">
          <wp:extent cx="5794020" cy="2584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3623" cy="2593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43"/>
    <w:rsid w:val="00257743"/>
    <w:rsid w:val="004B6BB1"/>
    <w:rsid w:val="00501C6A"/>
    <w:rsid w:val="00775FAB"/>
    <w:rsid w:val="008C2728"/>
    <w:rsid w:val="00D347F8"/>
    <w:rsid w:val="00DA7491"/>
    <w:rsid w:val="00EC2AA1"/>
    <w:rsid w:val="00FB7C8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60BE"/>
  <w15:chartTrackingRefBased/>
  <w15:docId w15:val="{92FB47A6-0EDE-46FB-90CD-B22C3ABB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6A"/>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C6A"/>
    <w:rPr>
      <w:color w:val="0563C1" w:themeColor="hyperlink"/>
      <w:u w:val="single"/>
    </w:rPr>
  </w:style>
  <w:style w:type="paragraph" w:styleId="Header">
    <w:name w:val="header"/>
    <w:basedOn w:val="Normal"/>
    <w:link w:val="HeaderChar"/>
    <w:uiPriority w:val="99"/>
    <w:unhideWhenUsed/>
    <w:rsid w:val="00DA749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A7491"/>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DA749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A7491"/>
    <w:rPr>
      <w:rFonts w:ascii="Times New Roman" w:eastAsia="NSimSun" w:hAnsi="Times New Roman" w:cs="Mangal"/>
      <w:kern w:val="2"/>
      <w:sz w:val="24"/>
      <w:szCs w:val="21"/>
      <w:lang w:val="sl-S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ca.europa.eu/Lists/ECADocuments/WP2021/WP2021_EN.pdf" TargetMode="External"/><Relationship Id="rId18" Type="http://schemas.openxmlformats.org/officeDocument/2006/relationships/image" Target="media/image7.png"/><Relationship Id="rId26" Type="http://schemas.openxmlformats.org/officeDocument/2006/relationships/hyperlink" Target="https://eeas.europa.eu/sites/eeas/files/joint_staff_working_document_renewed_partnership_southern_neighbourhood.pdf" TargetMode="External"/><Relationship Id="rId3" Type="http://schemas.openxmlformats.org/officeDocument/2006/relationships/webSettings" Target="webSettings.xml"/><Relationship Id="rId21" Type="http://schemas.openxmlformats.org/officeDocument/2006/relationships/hyperlink" Target="http://curia.europa.eu/juris/documents.jsf?oqp=&amp;for=&amp;mat=or&amp;lgrec=en&amp;jge=&amp;td=%3BALL&amp;jur=C%2CT%2CF&amp;num=C-407%252F19&amp;page=1&amp;dates=&amp;pcs=Oor&amp;lg=&amp;pro=&amp;nat=or&amp;cit=none%252CC%252CCJ%252CR%252C2008E%252C%252C%252C%252C%252C%252C%252C%252C%252C%252Ctrue%252Cfalse%252" TargetMode="External"/><Relationship Id="rId7" Type="http://schemas.openxmlformats.org/officeDocument/2006/relationships/hyperlink" Target="http://curia.europa.eu/juris/documents.jsf?oqp=&amp;for=&amp;mat=or&amp;lgrec=en&amp;jge=&amp;td=%3BALL&amp;jur=C%2CT%2CF&amp;num=C-16%252F19&amp;page=1&amp;dates=&amp;pcs=Oor&amp;lg=&amp;pro=&amp;nat=or&amp;cit=none%252CC%252CCJ%252CR%252C2008E%252C%252C%252C%252C%252C%252C%252C%252C%252C%252Ctrue%252Cfalse%25" TargetMode="External"/><Relationship Id="rId12" Type="http://schemas.openxmlformats.org/officeDocument/2006/relationships/image" Target="media/image4.png"/><Relationship Id="rId17" Type="http://schemas.openxmlformats.org/officeDocument/2006/relationships/hyperlink" Target="https://ec.europa.eu/commission/presscorner/detail/sl/ip_21_529" TargetMode="External"/><Relationship Id="rId25" Type="http://schemas.openxmlformats.org/officeDocument/2006/relationships/hyperlink" Target="https://eeas.europa.eu/sites/eeas/files/joint_communication_renewed_partnership_southern_neighbourhood.pd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ca.europa.eu/sl/Pages/DocItem.aspx?did=57948" TargetMode="External"/><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hyperlink" Target="https://ec.europa.eu/competition/elojade/isef/case_details.cfm?proc_code=3_SA_61132" TargetMode="External"/><Relationship Id="rId23" Type="http://schemas.openxmlformats.org/officeDocument/2006/relationships/hyperlink" Target="https://www.acm.nl/en/publications/aliexpress-informs-consumers-more-clearly-about-their-rights-following-acm-actio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c.europa.eu/info/law/better-regulation/have-your-say/initiatives/12532-Revision-of-Regulation-on-Union-guidelines-for-the-development-of-the-trans-European-transport-network-TEN-T-" TargetMode="External"/><Relationship Id="rId4" Type="http://schemas.openxmlformats.org/officeDocument/2006/relationships/footnotes" Target="footnotes.xml"/><Relationship Id="rId9" Type="http://schemas.openxmlformats.org/officeDocument/2006/relationships/hyperlink" Target="https://www.esma.europa.eu/sites/default/files/library/esma70-154-2316_call_for_expressions_of_interest_-_ptsc_cwg_renewal_-_2021.pd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5</cp:revision>
  <dcterms:created xsi:type="dcterms:W3CDTF">2021-02-12T14:36:00Z</dcterms:created>
  <dcterms:modified xsi:type="dcterms:W3CDTF">2021-02-12T14:42:00Z</dcterms:modified>
</cp:coreProperties>
</file>