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00BEEBFA" w14:textId="77777777" w:rsidTr="00610D2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610D2D" w:rsidRPr="00610D2D" w14:paraId="528EE39A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8BF6DB9" w14:textId="77777777" w:rsidR="00610D2D" w:rsidRPr="00610D2D" w:rsidRDefault="00610D2D" w:rsidP="00610D2D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komisija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sprejela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bančni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sveženj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katerega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namen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začasno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olajšati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kreditiranje</w:t>
                  </w:r>
                  <w:proofErr w:type="spellEnd"/>
                </w:p>
                <w:p w14:paraId="42E12680" w14:textId="1C84896F" w:rsidR="00610D2D" w:rsidRPr="00610D2D" w:rsidRDefault="00610D2D" w:rsidP="00610D2D">
                  <w:pPr>
                    <w:spacing w:after="0" w:line="338" w:lineRule="atLeast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610D2D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06C6EB02" wp14:editId="6F0B3887">
                        <wp:extent cx="2540000" cy="1022350"/>
                        <wp:effectExtent l="0" t="0" r="0" b="635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sprejela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bančni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sveženj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katerega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namen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začasno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olajšati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bančno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kreditiranje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gospodinjstev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podjetij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po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vsej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EU.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njem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navaja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da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predpisi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EU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bankam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njihovim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nadzornikom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omogočajo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da med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gospodarskimi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krizami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ravnajo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prožno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vendar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odgovorno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tako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podprejo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državljane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zlasti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mala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srednja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Vključuje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tudi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razlago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računovodskih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bonitetnih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okvirov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EU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ter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ciljno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usmerjenih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sprememb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bančnih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predpisov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EU,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bi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zagotovile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hitre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rešitve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610D2D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  <w:br/>
                  </w:r>
                  <w:r w:rsidRPr="00610D2D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8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Razlagalno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sporočilo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Komisije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uporabi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računovodskih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in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bonitetnih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okvirov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za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olajšanje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bančnega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kreditiranja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v EU (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pomoč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podjetjem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in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gospodinjstvom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v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času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pandemije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COVID-19)</w:t>
                    </w:r>
                  </w:hyperlink>
                </w:p>
              </w:tc>
            </w:tr>
          </w:tbl>
          <w:p w14:paraId="4EBE6263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610D2D" w:rsidRPr="00610D2D" w14:paraId="32C3351D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8D148D4" w14:textId="77777777" w:rsidR="00610D2D" w:rsidRPr="00610D2D" w:rsidRDefault="00610D2D" w:rsidP="00610D2D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Jamstvena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shema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študente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učence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podjetja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ter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izvajalce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izobraževanja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usposabljanja</w:t>
                  </w:r>
                  <w:proofErr w:type="spellEnd"/>
                </w:p>
                <w:p w14:paraId="19A1EC7D" w14:textId="77777777" w:rsidR="00610D2D" w:rsidRDefault="00610D2D" w:rsidP="00610D2D">
                  <w:pPr>
                    <w:spacing w:after="0" w:line="338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  <w:r w:rsidRPr="00610D2D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1832571D" wp14:editId="4DBC6A53">
                        <wp:extent cx="2540000" cy="1022350"/>
                        <wp:effectExtent l="0" t="0" r="0" b="635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investicijski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sklad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(EIF)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uvajata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novo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pilotno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jamstveno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shemo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Namen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pilotne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pobude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vrednosti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50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milijonov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podpreti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financiranje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študente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učence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vlagajo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izpopolnjevanje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zaposlenih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ter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organizacije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dejavne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področju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izobraževanja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usposabljanja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Zainteresirane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finančne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institucije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ali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izvajalci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izobraževanja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usposabljanja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lahko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do 31.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oktobra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prijavijo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finančne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posrednike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se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vključijo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shemo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prek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javnega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razpisa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objavil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EIF.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0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Jamstvena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shema</w:t>
                    </w:r>
                    <w:proofErr w:type="spellEnd"/>
                  </w:hyperlink>
                </w:p>
                <w:p w14:paraId="0FE3D731" w14:textId="5B424D72" w:rsidR="00610D2D" w:rsidRPr="00610D2D" w:rsidRDefault="00610D2D" w:rsidP="00610D2D">
                  <w:pPr>
                    <w:spacing w:after="0" w:line="338" w:lineRule="atLeast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05D969DD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376F7B23" w14:textId="77777777"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35774247" w14:textId="77777777" w:rsidTr="00610D2D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610D2D" w:rsidRPr="00610D2D" w14:paraId="367C53AD" w14:textId="77777777">
              <w:tc>
                <w:tcPr>
                  <w:tcW w:w="0" w:type="auto"/>
                  <w:vAlign w:val="center"/>
                  <w:hideMark/>
                </w:tcPr>
                <w:p w14:paraId="4AD3B2BA" w14:textId="77777777" w:rsidR="00610D2D" w:rsidRPr="00610D2D" w:rsidRDefault="00610D2D" w:rsidP="00610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BE"/>
                    </w:rPr>
                  </w:pPr>
                </w:p>
              </w:tc>
            </w:tr>
          </w:tbl>
          <w:p w14:paraId="5AA2DFF9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3B366A12" w14:textId="77777777"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76CC4486" w14:textId="77777777" w:rsidTr="00610D2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610D2D" w:rsidRPr="00610D2D" w14:paraId="2775E23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31900AEF" w14:textId="77777777" w:rsidR="00610D2D" w:rsidRPr="00610D2D" w:rsidRDefault="00610D2D" w:rsidP="00610D2D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agencija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varnost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zdravje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pri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delu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objavila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smernice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vrnitev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delo</w:t>
                  </w:r>
                </w:p>
                <w:p w14:paraId="7E0036DB" w14:textId="53FC28AE" w:rsidR="00610D2D" w:rsidRPr="00610D2D" w:rsidRDefault="00610D2D" w:rsidP="00610D2D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lastRenderedPageBreak/>
                    <w:br/>
                  </w: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drawing>
                      <wp:inline distT="0" distB="0" distL="0" distR="0" wp14:anchorId="5E44AD87" wp14:editId="291CE14E">
                        <wp:extent cx="2540000" cy="1022350"/>
                        <wp:effectExtent l="0" t="0" r="0" b="635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00" cy="1022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BD60A0" w14:textId="77777777" w:rsidR="00610D2D" w:rsidRDefault="00610D2D" w:rsidP="00610D2D">
                  <w:pPr>
                    <w:spacing w:after="0" w:line="338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Da bi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čim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bolj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zmanjšali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izpostavljenost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zaposlenih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bodo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po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koronavirusu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vrnili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delovna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mesta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se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agencija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varnost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zdravje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delu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kot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pomoč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delodajalcem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odločila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objaviti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smernice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vrnitev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delo.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2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Smernice</w:t>
                    </w:r>
                    <w:proofErr w:type="spellEnd"/>
                  </w:hyperlink>
                </w:p>
                <w:p w14:paraId="31B92B42" w14:textId="77777777" w:rsidR="00610D2D" w:rsidRDefault="00610D2D" w:rsidP="00610D2D">
                  <w:pPr>
                    <w:spacing w:after="0" w:line="338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9"/>
                  </w:tblGrid>
                  <w:tr w:rsidR="00610D2D" w:rsidRPr="00610D2D" w14:paraId="7BE1E586" w14:textId="77777777" w:rsidTr="00547D68">
                    <w:trPr>
                      <w:trHeight w:val="271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79"/>
                        </w:tblGrid>
                        <w:tr w:rsidR="00610D2D" w:rsidRPr="00610D2D" w14:paraId="279B8438" w14:textId="77777777" w:rsidTr="00547D6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7BD6369" w14:textId="77777777" w:rsidR="00610D2D" w:rsidRPr="00610D2D" w:rsidRDefault="00610D2D" w:rsidP="00610D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BE"/>
                                </w:rPr>
                              </w:pPr>
                            </w:p>
                          </w:tc>
                        </w:tr>
                      </w:tbl>
                      <w:p w14:paraId="142C205A" w14:textId="77777777" w:rsidR="00610D2D" w:rsidRPr="00610D2D" w:rsidRDefault="00610D2D" w:rsidP="00610D2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1D2228"/>
                            <w:sz w:val="20"/>
                            <w:szCs w:val="20"/>
                            <w:lang w:eastAsia="en-BE"/>
                          </w:rPr>
                        </w:pPr>
                      </w:p>
                    </w:tc>
                  </w:tr>
                </w:tbl>
                <w:p w14:paraId="69456D10" w14:textId="7E30D06F" w:rsidR="00610D2D" w:rsidRPr="00610D2D" w:rsidRDefault="00610D2D" w:rsidP="00610D2D">
                  <w:pPr>
                    <w:spacing w:after="0" w:line="338" w:lineRule="atLeast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70753FC9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610D2D" w:rsidRPr="00610D2D" w14:paraId="2283EF24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5D1CE500" w14:textId="77777777" w:rsidR="00610D2D" w:rsidRPr="00610D2D" w:rsidRDefault="00610D2D" w:rsidP="00610D2D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EU in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Mehika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sta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zaključili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pogajanja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o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novem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trgovinskem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sporazumu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  <w:t> </w:t>
                  </w:r>
                </w:p>
                <w:p w14:paraId="388A08E4" w14:textId="62398994" w:rsidR="00610D2D" w:rsidRPr="00610D2D" w:rsidRDefault="00610D2D" w:rsidP="00610D2D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610D2D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0BC20484" wp14:editId="192CF690">
                        <wp:extent cx="2482850" cy="999347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9765" cy="1006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 xml:space="preserve">EU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Mehika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zaključili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pogajanja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novem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 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trgovinskem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 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sporazumu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tako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rekoč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vso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trgovino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blagom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ukinil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carine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Zdaj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vrsti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pravni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pregled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dogovorjenega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besedila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4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Spletna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stran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z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informacijami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sporazumu</w:t>
                    </w:r>
                    <w:proofErr w:type="spellEnd"/>
                  </w:hyperlink>
                </w:p>
              </w:tc>
            </w:tr>
          </w:tbl>
          <w:p w14:paraId="3A7A0987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156DC9A2" w14:textId="77777777"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4D9CF719" w14:textId="77777777" w:rsidTr="00610D2D">
        <w:trPr>
          <w:trHeight w:val="271"/>
        </w:trPr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610D2D" w:rsidRPr="00610D2D" w14:paraId="4FB72319" w14:textId="77777777">
              <w:tc>
                <w:tcPr>
                  <w:tcW w:w="0" w:type="auto"/>
                  <w:vAlign w:val="center"/>
                  <w:hideMark/>
                </w:tcPr>
                <w:p w14:paraId="2FDD168E" w14:textId="77777777" w:rsidR="00610D2D" w:rsidRPr="00610D2D" w:rsidRDefault="00610D2D" w:rsidP="00610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BE"/>
                    </w:rPr>
                  </w:pPr>
                </w:p>
              </w:tc>
            </w:tr>
          </w:tbl>
          <w:p w14:paraId="3FCA43EF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19C05AAB" w14:textId="77777777"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1B631F77" w14:textId="77777777" w:rsidTr="00610D2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610D2D" w:rsidRPr="00610D2D" w14:paraId="70287D94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3630AC5" w14:textId="77777777" w:rsidR="00610D2D" w:rsidRPr="00610D2D" w:rsidRDefault="00610D2D" w:rsidP="00610D2D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Sveženj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ukrepov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blaženje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posledic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pandemije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v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prometnem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sektorju</w:t>
                  </w:r>
                  <w:proofErr w:type="spellEnd"/>
                </w:p>
                <w:p w14:paraId="09A0E756" w14:textId="6BFB4F85" w:rsidR="00610D2D" w:rsidRPr="00610D2D" w:rsidRDefault="00610D2D" w:rsidP="00610D2D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drawing>
                      <wp:inline distT="0" distB="0" distL="0" distR="0" wp14:anchorId="2D33E1B8" wp14:editId="3FCC6834">
                        <wp:extent cx="2476500" cy="996791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0199" cy="99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2095E56" w14:textId="1BD404E6" w:rsidR="00610D2D" w:rsidRDefault="00610D2D" w:rsidP="000F15F2">
                  <w:pPr>
                    <w:spacing w:after="0" w:line="338" w:lineRule="atLeast"/>
                    <w:ind w:right="119"/>
                    <w:jc w:val="both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okviru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ukrepov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blaženje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posledic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pandemije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koronavirusa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pripravila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sveženj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predlogov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transportni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sektor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železniški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sektor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predlaga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podaljšanje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rokov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do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katerih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morajo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države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članice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prenesti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nekatere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pristojnosti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sektorju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cestnega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prometa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ugodila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prošnji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11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držav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članic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med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katerimi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Slovenije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začasno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izvzetje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pravil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EU 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času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vožnje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počitka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 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pomorskem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sektorju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predlaga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da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začasno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ne bi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zaračunavali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pristaniške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pristojbine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6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Spletna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stran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s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povezavami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na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predloge</w:t>
                    </w:r>
                    <w:proofErr w:type="spellEnd"/>
                  </w:hyperlink>
                </w:p>
                <w:p w14:paraId="2FCCB4D6" w14:textId="77777777" w:rsidR="00610D2D" w:rsidRDefault="00610D2D" w:rsidP="00610D2D">
                  <w:pPr>
                    <w:spacing w:after="0" w:line="338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610D2D" w:rsidRPr="00610D2D" w14:paraId="019DBFCE" w14:textId="77777777" w:rsidTr="00547D68">
                    <w:trPr>
                      <w:trHeight w:val="271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20"/>
                        </w:tblGrid>
                        <w:tr w:rsidR="00610D2D" w:rsidRPr="00610D2D" w14:paraId="294724AD" w14:textId="77777777" w:rsidTr="00547D6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C74D61E" w14:textId="77777777" w:rsidR="00610D2D" w:rsidRPr="00610D2D" w:rsidRDefault="00610D2D" w:rsidP="00610D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BE"/>
                                </w:rPr>
                              </w:pPr>
                            </w:p>
                          </w:tc>
                        </w:tr>
                      </w:tbl>
                      <w:p w14:paraId="2956CA5B" w14:textId="77777777" w:rsidR="00610D2D" w:rsidRPr="00610D2D" w:rsidRDefault="00610D2D" w:rsidP="00610D2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1D2228"/>
                            <w:sz w:val="20"/>
                            <w:szCs w:val="20"/>
                            <w:lang w:eastAsia="en-BE"/>
                          </w:rPr>
                        </w:pPr>
                      </w:p>
                    </w:tc>
                  </w:tr>
                </w:tbl>
                <w:p w14:paraId="7CD77175" w14:textId="242F34CD" w:rsidR="00610D2D" w:rsidRPr="00610D2D" w:rsidRDefault="00610D2D" w:rsidP="00610D2D">
                  <w:pPr>
                    <w:spacing w:after="0" w:line="338" w:lineRule="atLeast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5C667C24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610D2D" w:rsidRPr="00610D2D" w14:paraId="2A162FB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62B56823" w14:textId="77777777" w:rsidR="00610D2D" w:rsidRPr="00610D2D" w:rsidRDefault="00610D2D" w:rsidP="00610D2D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Do 30.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junija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mogoče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oddati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prijavo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mednarodno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tekmovanje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 Galileo Masters</w:t>
                  </w: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  <w:t> </w:t>
                  </w:r>
                </w:p>
                <w:p w14:paraId="6468F89B" w14:textId="7B56B5C7" w:rsidR="00610D2D" w:rsidRPr="00610D2D" w:rsidRDefault="00610D2D" w:rsidP="00610D2D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610D2D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3A67184D" wp14:editId="1208D549">
                        <wp:extent cx="2463800" cy="99168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4806" cy="996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 xml:space="preserve">Do 30.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junija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mogoče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oddati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prijave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letošnje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mednarodno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tekmovanje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prelomne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inovacije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(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zagonskih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)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podjetij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področju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vesolja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rešitev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osnovi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lastRenderedPageBreak/>
                    <w:t>satelitske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navigacije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Galileo Masters.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Nagradni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sklad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znaša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750.000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izbirati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mogoče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med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obširno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paleto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področij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–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lokacijsko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pogojene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storitve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upravljanje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cest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prometa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varnost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zdravje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energija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obogatena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resničnost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kmetijstvo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logistika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javne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socialne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storitve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letalstvo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železnice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spremljanje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zaščita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okolja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pomorstvo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upravljanje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nesreč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izrednih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razmer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turizem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šport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igre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podobno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18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Informacije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o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razpisu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s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povezavo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na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razpis</w:t>
                    </w:r>
                    <w:proofErr w:type="spellEnd"/>
                  </w:hyperlink>
                </w:p>
              </w:tc>
            </w:tr>
          </w:tbl>
          <w:p w14:paraId="30327945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44BAD213" w14:textId="77777777"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6151F2D5" w14:textId="77777777" w:rsidTr="00610D2D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610D2D" w:rsidRPr="00610D2D" w14:paraId="574F47B1" w14:textId="77777777">
              <w:tc>
                <w:tcPr>
                  <w:tcW w:w="0" w:type="auto"/>
                  <w:vAlign w:val="center"/>
                  <w:hideMark/>
                </w:tcPr>
                <w:p w14:paraId="4E1A056F" w14:textId="77777777" w:rsidR="00610D2D" w:rsidRPr="00610D2D" w:rsidRDefault="00610D2D" w:rsidP="00610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BE"/>
                    </w:rPr>
                  </w:pPr>
                </w:p>
              </w:tc>
            </w:tr>
          </w:tbl>
          <w:p w14:paraId="177E3F60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1FDDAE9F" w14:textId="77777777"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338788E8" w14:textId="77777777" w:rsidTr="00610D2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610D2D" w:rsidRPr="00610D2D" w14:paraId="172AE613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680CA0E" w14:textId="22C4CEFB" w:rsidR="00610D2D" w:rsidRPr="00610D2D" w:rsidRDefault="00610D2D" w:rsidP="00610D2D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Usmeritve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varstvo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podatkov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razvoj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aplikacij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podpirajo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boj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proti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koronavirusu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drawing>
                      <wp:inline distT="0" distB="0" distL="0" distR="0" wp14:anchorId="201C0E40" wp14:editId="496046BB">
                        <wp:extent cx="2501900" cy="1007015"/>
                        <wp:effectExtent l="0" t="0" r="0" b="317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5354" cy="1016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D428B7" w14:textId="77777777" w:rsidR="00610D2D" w:rsidRPr="00610D2D" w:rsidRDefault="00610D2D" w:rsidP="000F15F2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objavila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usmeritve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zvezi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varstvom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podatkov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razvoj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novih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aplikacij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podpirajo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boj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koronavirusu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Usmeritve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osredotočajo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prostovoljne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aplikacije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pa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določajo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glavnih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pogojev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razvoj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Usmeritve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osredotočajo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prostovoljne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aplikacije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ob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pa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določajo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glavnih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pogojev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razvoj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0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Usmeritve</w:t>
                    </w:r>
                    <w:proofErr w:type="spellEnd"/>
                  </w:hyperlink>
                </w:p>
              </w:tc>
            </w:tr>
          </w:tbl>
          <w:p w14:paraId="63C92876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610D2D" w:rsidRPr="00610D2D" w14:paraId="73DE0842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0259F4E5" w14:textId="5214610D" w:rsidR="00610D2D" w:rsidRDefault="00610D2D" w:rsidP="00610D2D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610D2D" w:rsidRPr="00610D2D" w14:paraId="685AAED6" w14:textId="77777777" w:rsidTr="00547D68">
                    <w:trPr>
                      <w:trHeight w:val="271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20"/>
                        </w:tblGrid>
                        <w:tr w:rsidR="00610D2D" w:rsidRPr="00610D2D" w14:paraId="0E12ACC5" w14:textId="77777777" w:rsidTr="00547D6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F1B0A5" w14:textId="77777777" w:rsidR="00610D2D" w:rsidRPr="00610D2D" w:rsidRDefault="00610D2D" w:rsidP="00610D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BE"/>
                                </w:rPr>
                              </w:pPr>
                            </w:p>
                          </w:tc>
                        </w:tr>
                      </w:tbl>
                      <w:p w14:paraId="7D7ABABC" w14:textId="77777777" w:rsidR="00610D2D" w:rsidRPr="00610D2D" w:rsidRDefault="00610D2D" w:rsidP="00610D2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1D2228"/>
                            <w:sz w:val="20"/>
                            <w:szCs w:val="20"/>
                            <w:lang w:eastAsia="en-BE"/>
                          </w:rPr>
                        </w:pPr>
                      </w:p>
                    </w:tc>
                  </w:tr>
                </w:tbl>
                <w:p w14:paraId="37223499" w14:textId="0809FDCA" w:rsidR="00610D2D" w:rsidRPr="00610D2D" w:rsidRDefault="00610D2D" w:rsidP="00610D2D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Objavljena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brošura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Strokovna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znanja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digitalizacijo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malih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srednjih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podjetij</w:t>
                  </w:r>
                  <w:proofErr w:type="spellEnd"/>
                </w:p>
                <w:p w14:paraId="3648A37B" w14:textId="77777777" w:rsidR="00610D2D" w:rsidRPr="00610D2D" w:rsidRDefault="00610D2D" w:rsidP="00610D2D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610D2D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  <w:t> </w:t>
                  </w:r>
                </w:p>
                <w:p w14:paraId="1BB46D9E" w14:textId="67A24438" w:rsidR="00610D2D" w:rsidRPr="00610D2D" w:rsidRDefault="00610D2D" w:rsidP="00610D2D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610D2D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6F5B83A4" wp14:editId="33534846">
                        <wp:extent cx="2419350" cy="973788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880" cy="9892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 xml:space="preserve">Ker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digitalizacija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eden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glavnih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izzivov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s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katerim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soočajo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mala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srednja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podjetja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navaja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da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to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tema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projekta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Skills for SMEs.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Priporočila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ugotovitve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zbrane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brošuri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poročilu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2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Brošura</w:t>
                    </w:r>
                    <w:proofErr w:type="spellEnd"/>
                  </w:hyperlink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in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3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Poročilo</w:t>
                    </w:r>
                    <w:proofErr w:type="spellEnd"/>
                  </w:hyperlink>
                </w:p>
              </w:tc>
            </w:tr>
          </w:tbl>
          <w:p w14:paraId="27EFBF38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719C03A5" w14:textId="77777777"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76166DB8" w14:textId="77777777" w:rsidTr="00610D2D">
        <w:tc>
          <w:tcPr>
            <w:tcW w:w="0" w:type="auto"/>
            <w:shd w:val="clear" w:color="auto" w:fill="FFFFFF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6" w:space="0" w:color="DAA52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9"/>
            </w:tblGrid>
            <w:tr w:rsidR="00610D2D" w:rsidRPr="00610D2D" w14:paraId="2EE797E6" w14:textId="77777777">
              <w:tc>
                <w:tcPr>
                  <w:tcW w:w="0" w:type="auto"/>
                  <w:vAlign w:val="center"/>
                  <w:hideMark/>
                </w:tcPr>
                <w:p w14:paraId="0944C934" w14:textId="77777777" w:rsidR="00610D2D" w:rsidRPr="00610D2D" w:rsidRDefault="00610D2D" w:rsidP="00610D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BE"/>
                    </w:rPr>
                  </w:pPr>
                </w:p>
              </w:tc>
            </w:tr>
          </w:tbl>
          <w:p w14:paraId="05BB1B64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557C13FE" w14:textId="77777777" w:rsidR="00610D2D" w:rsidRPr="00610D2D" w:rsidRDefault="00610D2D" w:rsidP="0061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B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</w:tblGrid>
      <w:tr w:rsidR="00610D2D" w:rsidRPr="00610D2D" w14:paraId="421A2854" w14:textId="77777777" w:rsidTr="00610D2D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610D2D" w:rsidRPr="00610D2D" w14:paraId="72DC35C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417E3B3" w14:textId="77777777" w:rsidR="00610D2D" w:rsidRPr="00610D2D" w:rsidRDefault="00610D2D" w:rsidP="00610D2D">
                  <w:pPr>
                    <w:spacing w:after="0" w:line="338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V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veljavo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stopila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uredba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o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vzajemnem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priznavanju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blaga</w:t>
                  </w:r>
                  <w:proofErr w:type="spellEnd"/>
                </w:p>
                <w:p w14:paraId="7386F722" w14:textId="77777777" w:rsidR="00610D2D" w:rsidRPr="00610D2D" w:rsidRDefault="00610D2D" w:rsidP="00610D2D">
                  <w:pPr>
                    <w:spacing w:after="0" w:line="338" w:lineRule="atLeast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610D2D"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  <w:t> </w:t>
                  </w:r>
                </w:p>
                <w:p w14:paraId="1BC3BA88" w14:textId="3CFBF4E4" w:rsidR="00610D2D" w:rsidRPr="00610D2D" w:rsidRDefault="00610D2D" w:rsidP="00610D2D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</w:r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noProof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drawing>
                      <wp:inline distT="0" distB="0" distL="0" distR="0" wp14:anchorId="24D614FA" wp14:editId="458FDE13">
                        <wp:extent cx="2444750" cy="984012"/>
                        <wp:effectExtent l="0" t="0" r="0" b="698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108" cy="991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5DE13B" w14:textId="77777777" w:rsidR="00610D2D" w:rsidRDefault="00610D2D" w:rsidP="00A60C98">
                  <w:pPr>
                    <w:spacing w:after="0" w:line="338" w:lineRule="atLeast"/>
                    <w:ind w:right="261"/>
                    <w:jc w:val="both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veljavo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stopila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uredba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o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vzajemnem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priznavanju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blaga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bila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sprejeta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zaradi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olajšanja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uporabe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načela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vzajemnega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priznavanja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in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sicer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določitvijo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postopkov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zmanjšanje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možnosti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da se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ustvarijo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nezakonite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ovire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prosti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pretok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blaga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,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se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že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zakonito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trži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drugi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državi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članici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lastRenderedPageBreak/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5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Uredba</w:t>
                    </w:r>
                    <w:proofErr w:type="spellEnd"/>
                  </w:hyperlink>
                </w:p>
                <w:p w14:paraId="2B71A86D" w14:textId="42573ACF" w:rsidR="00610D2D" w:rsidRDefault="00610D2D" w:rsidP="00610D2D">
                  <w:pPr>
                    <w:spacing w:after="0" w:line="338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610D2D" w:rsidRPr="00610D2D" w14:paraId="2CEA4A7C" w14:textId="77777777" w:rsidTr="00547D68">
                    <w:trPr>
                      <w:trHeight w:val="271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DAA52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20"/>
                        </w:tblGrid>
                        <w:tr w:rsidR="00610D2D" w:rsidRPr="00610D2D" w14:paraId="4AEAE9E9" w14:textId="77777777" w:rsidTr="00547D6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2D60E4" w14:textId="77777777" w:rsidR="00610D2D" w:rsidRPr="00610D2D" w:rsidRDefault="00610D2D" w:rsidP="00610D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BE"/>
                                </w:rPr>
                              </w:pPr>
                            </w:p>
                          </w:tc>
                        </w:tr>
                      </w:tbl>
                      <w:p w14:paraId="311C7CBE" w14:textId="77777777" w:rsidR="00610D2D" w:rsidRPr="00610D2D" w:rsidRDefault="00610D2D" w:rsidP="00610D2D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1D2228"/>
                            <w:sz w:val="20"/>
                            <w:szCs w:val="20"/>
                            <w:lang w:eastAsia="en-BE"/>
                          </w:rPr>
                        </w:pPr>
                      </w:p>
                    </w:tc>
                  </w:tr>
                </w:tbl>
                <w:p w14:paraId="2777EF8B" w14:textId="77777777" w:rsidR="00610D2D" w:rsidRDefault="00610D2D" w:rsidP="00610D2D">
                  <w:pPr>
                    <w:spacing w:after="0" w:line="338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</w:pPr>
                </w:p>
                <w:p w14:paraId="3ED7AB87" w14:textId="669634BA" w:rsidR="00610D2D" w:rsidRPr="00610D2D" w:rsidRDefault="00610D2D" w:rsidP="00610D2D">
                  <w:pPr>
                    <w:spacing w:after="0" w:line="338" w:lineRule="atLeast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</w:p>
              </w:tc>
            </w:tr>
          </w:tbl>
          <w:p w14:paraId="0507138B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vanish/>
                <w:color w:val="1D2228"/>
                <w:sz w:val="20"/>
                <w:szCs w:val="20"/>
                <w:lang w:eastAsia="en-BE"/>
              </w:rPr>
            </w:pPr>
          </w:p>
          <w:tbl>
            <w:tblPr>
              <w:tblpPr w:leftFromText="45" w:rightFromText="45" w:vertAnchor="text"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9"/>
            </w:tblGrid>
            <w:tr w:rsidR="00610D2D" w:rsidRPr="00610D2D" w14:paraId="30360A79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7B857AA8" w14:textId="77777777" w:rsidR="00610D2D" w:rsidRPr="00610D2D" w:rsidRDefault="00610D2D" w:rsidP="00610D2D">
                  <w:pPr>
                    <w:spacing w:after="0" w:line="338" w:lineRule="atLeast"/>
                    <w:jc w:val="both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</w:pP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komisija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je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napovedala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izredne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ukrepe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pomoč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kmetijsko-živilskemu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000080"/>
                      <w:spacing w:val="-8"/>
                      <w:sz w:val="27"/>
                      <w:szCs w:val="27"/>
                      <w:lang w:eastAsia="en-BE"/>
                    </w:rPr>
                    <w:t>sektorju</w:t>
                  </w:r>
                  <w:proofErr w:type="spellEnd"/>
                  <w:r w:rsidRPr="00610D2D">
                    <w:rPr>
                      <w:rFonts w:ascii="Helvetica" w:eastAsia="Times New Roman" w:hAnsi="Helvetica" w:cs="Helvetica"/>
                      <w:b/>
                      <w:bCs/>
                      <w:color w:val="606060"/>
                      <w:spacing w:val="-8"/>
                      <w:sz w:val="27"/>
                      <w:szCs w:val="27"/>
                      <w:lang w:eastAsia="en-BE"/>
                    </w:rPr>
                    <w:br/>
                    <w:t> </w:t>
                  </w:r>
                </w:p>
                <w:p w14:paraId="4ABF83F4" w14:textId="1A641C7C" w:rsidR="00610D2D" w:rsidRPr="00610D2D" w:rsidRDefault="00610D2D" w:rsidP="00610D2D">
                  <w:pPr>
                    <w:spacing w:after="0" w:line="338" w:lineRule="atLeast"/>
                    <w:ind w:right="119"/>
                    <w:jc w:val="both"/>
                    <w:rPr>
                      <w:rFonts w:ascii="Helvetica" w:eastAsia="Times New Roman" w:hAnsi="Helvetica" w:cs="Helvetica"/>
                      <w:color w:val="606060"/>
                      <w:sz w:val="23"/>
                      <w:szCs w:val="23"/>
                      <w:lang w:eastAsia="en-BE"/>
                    </w:rPr>
                  </w:pPr>
                  <w:r w:rsidRPr="00610D2D">
                    <w:rPr>
                      <w:rFonts w:ascii="Arial" w:eastAsia="Times New Roman" w:hAnsi="Arial" w:cs="Arial"/>
                      <w:b/>
                      <w:bCs/>
                      <w:noProof/>
                      <w:color w:val="606060"/>
                      <w:sz w:val="18"/>
                      <w:szCs w:val="18"/>
                      <w:lang w:eastAsia="en-BE"/>
                    </w:rPr>
                    <w:drawing>
                      <wp:inline distT="0" distB="0" distL="0" distR="0" wp14:anchorId="43EF91F6" wp14:editId="4BC3BD52">
                        <wp:extent cx="2470150" cy="994235"/>
                        <wp:effectExtent l="0" t="0" r="635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3383" cy="999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Podporo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zasebnikom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skladiščenje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presežkov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mleka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in mesa, je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Evropska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komisija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med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drugim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napovedala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v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svežnju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izrednih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ukrepov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za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pomoč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kmetijsko-živilskemu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sektorju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zaradi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posledic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pandemije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 xml:space="preserve"> </w:t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koronavirusa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.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  <w:t> 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proofErr w:type="spellStart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Več</w:t>
                  </w:r>
                  <w:proofErr w:type="spellEnd"/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t>:</w:t>
                  </w:r>
                  <w:r w:rsidRPr="00610D2D">
                    <w:rPr>
                      <w:rFonts w:ascii="Arial" w:eastAsia="Times New Roman" w:hAnsi="Arial" w:cs="Arial"/>
                      <w:b/>
                      <w:bCs/>
                      <w:color w:val="606060"/>
                      <w:sz w:val="18"/>
                      <w:szCs w:val="18"/>
                      <w:lang w:eastAsia="en-BE"/>
                    </w:rPr>
                    <w:br/>
                  </w:r>
                  <w:hyperlink r:id="rId27" w:tgtFrame="_blank" w:history="1"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Spletna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stran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s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predlaganimi</w:t>
                    </w:r>
                    <w:proofErr w:type="spellEnd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 xml:space="preserve"> </w:t>
                    </w:r>
                    <w:proofErr w:type="spellStart"/>
                    <w:r w:rsidRPr="00610D2D">
                      <w:rPr>
                        <w:rFonts w:ascii="Arial" w:eastAsia="Times New Roman" w:hAnsi="Arial" w:cs="Arial"/>
                        <w:color w:val="DAA520"/>
                        <w:sz w:val="18"/>
                        <w:szCs w:val="18"/>
                        <w:u w:val="single"/>
                        <w:lang w:eastAsia="en-BE"/>
                      </w:rPr>
                      <w:t>ukrepi</w:t>
                    </w:r>
                    <w:proofErr w:type="spellEnd"/>
                  </w:hyperlink>
                </w:p>
              </w:tc>
            </w:tr>
          </w:tbl>
          <w:p w14:paraId="243C8DD7" w14:textId="77777777" w:rsidR="00610D2D" w:rsidRPr="00610D2D" w:rsidRDefault="00610D2D" w:rsidP="00610D2D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en-BE"/>
              </w:rPr>
            </w:pPr>
          </w:p>
        </w:tc>
      </w:tr>
    </w:tbl>
    <w:p w14:paraId="3FA2A30A" w14:textId="5B09EC73" w:rsidR="001E0747" w:rsidRDefault="00272D43"/>
    <w:sectPr w:rsidR="001E0747" w:rsidSect="00610D2D">
      <w:headerReference w:type="first" r:id="rId28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C815" w14:textId="77777777" w:rsidR="00272D43" w:rsidRDefault="00272D43" w:rsidP="005007BC">
      <w:pPr>
        <w:spacing w:after="0" w:line="240" w:lineRule="auto"/>
      </w:pPr>
      <w:r>
        <w:separator/>
      </w:r>
    </w:p>
  </w:endnote>
  <w:endnote w:type="continuationSeparator" w:id="0">
    <w:p w14:paraId="34BD0B98" w14:textId="77777777" w:rsidR="00272D43" w:rsidRDefault="00272D43" w:rsidP="0050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6A79E" w14:textId="77777777" w:rsidR="00272D43" w:rsidRDefault="00272D43" w:rsidP="005007BC">
      <w:pPr>
        <w:spacing w:after="0" w:line="240" w:lineRule="auto"/>
      </w:pPr>
      <w:r>
        <w:separator/>
      </w:r>
    </w:p>
  </w:footnote>
  <w:footnote w:type="continuationSeparator" w:id="0">
    <w:p w14:paraId="5ED72E51" w14:textId="77777777" w:rsidR="00272D43" w:rsidRDefault="00272D43" w:rsidP="0050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A2CA" w14:textId="64FAEEA7" w:rsidR="00610D2D" w:rsidRDefault="00610D2D">
    <w:pPr>
      <w:pStyle w:val="Header"/>
    </w:pPr>
    <w:r>
      <w:rPr>
        <w:noProof/>
      </w:rPr>
      <w:drawing>
        <wp:inline distT="0" distB="0" distL="0" distR="0" wp14:anchorId="09A25CF4" wp14:editId="6579A839">
          <wp:extent cx="5731510" cy="2559050"/>
          <wp:effectExtent l="0" t="0" r="254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5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D7"/>
    <w:rsid w:val="000F15F2"/>
    <w:rsid w:val="00272D43"/>
    <w:rsid w:val="005007BC"/>
    <w:rsid w:val="00610D2D"/>
    <w:rsid w:val="006243D7"/>
    <w:rsid w:val="00775FAB"/>
    <w:rsid w:val="008E1A8E"/>
    <w:rsid w:val="00A60C98"/>
    <w:rsid w:val="00D3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5B6D"/>
  <w15:chartTrackingRefBased/>
  <w15:docId w15:val="{BEFF8E15-6A4A-4A70-9495-E7800F64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0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7BC"/>
  </w:style>
  <w:style w:type="paragraph" w:styleId="Footer">
    <w:name w:val="footer"/>
    <w:basedOn w:val="Normal"/>
    <w:link w:val="FooterChar"/>
    <w:uiPriority w:val="99"/>
    <w:unhideWhenUsed/>
    <w:rsid w:val="00500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7BC"/>
  </w:style>
  <w:style w:type="character" w:customStyle="1" w:styleId="Heading3Char">
    <w:name w:val="Heading 3 Char"/>
    <w:basedOn w:val="DefaultParagraphFont"/>
    <w:link w:val="Heading3"/>
    <w:uiPriority w:val="9"/>
    <w:rsid w:val="00610D2D"/>
    <w:rPr>
      <w:rFonts w:ascii="Times New Roman" w:eastAsia="Times New Roman" w:hAnsi="Times New Roman" w:cs="Times New Roman"/>
      <w:b/>
      <w:bCs/>
      <w:sz w:val="27"/>
      <w:szCs w:val="27"/>
      <w:lang w:val="en-BE" w:eastAsia="en-BE"/>
    </w:rPr>
  </w:style>
  <w:style w:type="character" w:styleId="Strong">
    <w:name w:val="Strong"/>
    <w:basedOn w:val="DefaultParagraphFont"/>
    <w:uiPriority w:val="22"/>
    <w:qFormat/>
    <w:rsid w:val="00610D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ra.us8.list-manage.com/track/click?u=e6e6edab27aee286b10f651f9&amp;id=bcec5d7eb3&amp;e=4c4d9f6b81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sbra.us8.list-manage.com/track/click?u=e6e6edab27aee286b10f651f9&amp;id=14f5f9f1e3&amp;e=4c4d9f6b81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sbra.us8.list-manage.com/track/click?u=e6e6edab27aee286b10f651f9&amp;id=55e60f56a4&amp;e=4c4d9f6b81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sbra.us8.list-manage.com/track/click?u=e6e6edab27aee286b10f651f9&amp;id=eb828f20e6&amp;e=4c4d9f6b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bra.us8.list-manage.com/track/click?u=e6e6edab27aee286b10f651f9&amp;id=3613a6c776&amp;e=4c4d9f6b81" TargetMode="External"/><Relationship Id="rId20" Type="http://schemas.openxmlformats.org/officeDocument/2006/relationships/hyperlink" Target="https://sbra.us8.list-manage.com/track/click?u=e6e6edab27aee286b10f651f9&amp;id=8138741007&amp;e=4c4d9f6b8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sbra.us8.list-manage.com/track/click?u=e6e6edab27aee286b10f651f9&amp;id=7d7d540830&amp;e=4c4d9f6b8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sbra.us8.list-manage.com/track/click?u=e6e6edab27aee286b10f651f9&amp;id=545d1ac6c8&amp;e=4c4d9f6b81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bra.us8.list-manage.com/track/click?u=e6e6edab27aee286b10f651f9&amp;id=60cf4b6993&amp;e=4c4d9f6b81" TargetMode="External"/><Relationship Id="rId22" Type="http://schemas.openxmlformats.org/officeDocument/2006/relationships/hyperlink" Target="https://sbra.us8.list-manage.com/track/click?u=e6e6edab27aee286b10f651f9&amp;id=9989be15e5&amp;e=4c4d9f6b81" TargetMode="External"/><Relationship Id="rId27" Type="http://schemas.openxmlformats.org/officeDocument/2006/relationships/hyperlink" Target="https://sbra.us8.list-manage.com/track/click?u=e6e6edab27aee286b10f651f9&amp;id=74c60dcaf4&amp;e=4c4d9f6b81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3B0D-901B-4C96-9757-E021B0B8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bostjansinkovec@yahoo.com</dc:creator>
  <cp:keywords/>
  <dc:description/>
  <cp:lastModifiedBy>bostjansinkovec@yahoo.com</cp:lastModifiedBy>
  <cp:revision>5</cp:revision>
  <dcterms:created xsi:type="dcterms:W3CDTF">2020-04-30T15:31:00Z</dcterms:created>
  <dcterms:modified xsi:type="dcterms:W3CDTF">2020-04-30T15:43:00Z</dcterms:modified>
</cp:coreProperties>
</file>