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95B4" w14:textId="78832A1A" w:rsidR="008F7489" w:rsidRDefault="008F7489" w:rsidP="00A961CB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>
        <w:rPr>
          <w:rFonts w:ascii="Arial" w:hAnsi="Arial"/>
          <w:b/>
          <w:bCs/>
          <w:noProof/>
          <w:color w:val="1F3864" w:themeColor="accent1" w:themeShade="80"/>
          <w:sz w:val="20"/>
          <w:szCs w:val="20"/>
        </w:rPr>
        <w:drawing>
          <wp:inline distT="0" distB="0" distL="0" distR="0" wp14:anchorId="78F01567" wp14:editId="352C8E6B">
            <wp:extent cx="2638247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704" cy="105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90171" w14:textId="190EE99B" w:rsidR="00A961CB" w:rsidRPr="004D4FF4" w:rsidRDefault="00A961CB" w:rsidP="00A961CB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b/>
          <w:bCs/>
          <w:color w:val="1F3864" w:themeColor="accent1" w:themeShade="80"/>
          <w:sz w:val="20"/>
          <w:szCs w:val="20"/>
        </w:rPr>
        <w:t>Objavljeno je sporočilo o finančnih sankcijah v postopkih za ugotavljanje kršitev 2022</w:t>
      </w:r>
    </w:p>
    <w:p w14:paraId="75893EFD" w14:textId="77777777" w:rsidR="00A961CB" w:rsidRPr="004D4FF4" w:rsidRDefault="00A961CB" w:rsidP="00A961CB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2D426254" w14:textId="77777777" w:rsidR="00A961CB" w:rsidRPr="004D4FF4" w:rsidRDefault="00A961CB" w:rsidP="00A961CB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Evropska komisija je objavila sporočilo o finančnih sankcijah v postopkih za ugotavljanje kršitev 2022, ki posodablja način izračunavanja glob, kadar države članice kršijo zakonodajo EU.</w:t>
      </w:r>
    </w:p>
    <w:p w14:paraId="66C2F213" w14:textId="77777777" w:rsidR="00A961CB" w:rsidRPr="004D4FF4" w:rsidRDefault="00A961CB" w:rsidP="00A961CB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5FCDC0A1" w14:textId="77777777" w:rsidR="00A961CB" w:rsidRPr="004D4FF4" w:rsidRDefault="00A961CB" w:rsidP="00A961CB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7363D8BF" w14:textId="77777777" w:rsidR="00A961CB" w:rsidRPr="002F1AF4" w:rsidRDefault="00A961CB" w:rsidP="00A961CB">
      <w:pPr>
        <w:jc w:val="both"/>
        <w:rPr>
          <w:rFonts w:ascii="Arial" w:hAnsi="Arial"/>
          <w:color w:val="FFC000"/>
          <w:sz w:val="20"/>
          <w:szCs w:val="20"/>
        </w:rPr>
      </w:pPr>
      <w:hyperlink r:id="rId7" w:history="1">
        <w:r w:rsidRPr="002F1AF4">
          <w:rPr>
            <w:rStyle w:val="Hyperlink"/>
            <w:rFonts w:ascii="Arial" w:hAnsi="Arial"/>
            <w:color w:val="FFC000"/>
            <w:sz w:val="20"/>
            <w:szCs w:val="20"/>
          </w:rPr>
          <w:t>Sporočilo</w:t>
        </w:r>
      </w:hyperlink>
    </w:p>
    <w:p w14:paraId="587F05AE" w14:textId="67BD4BED" w:rsidR="00A961CB" w:rsidRDefault="00A961CB" w:rsidP="00A961CB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6416A3FB" w14:textId="77777777" w:rsidR="00C47CB1" w:rsidRPr="004D4FF4" w:rsidRDefault="00C47CB1" w:rsidP="00A961CB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12C1AA15" w14:textId="1D661812" w:rsidR="00307021" w:rsidRPr="004D4FF4" w:rsidRDefault="008F7489" w:rsidP="00A961CB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>
        <w:rPr>
          <w:rFonts w:ascii="Arial" w:hAnsi="Arial"/>
          <w:noProof/>
          <w:color w:val="1F3864" w:themeColor="accent1" w:themeShade="80"/>
          <w:sz w:val="20"/>
          <w:szCs w:val="20"/>
        </w:rPr>
        <w:drawing>
          <wp:inline distT="0" distB="0" distL="0" distR="0" wp14:anchorId="6B2C53A3" wp14:editId="7B62FF03">
            <wp:extent cx="2638247" cy="1057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71" cy="1058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9CC70" w14:textId="77777777" w:rsidR="00A961CB" w:rsidRPr="004D4FF4" w:rsidRDefault="00A961CB" w:rsidP="00A961CB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b/>
          <w:bCs/>
          <w:color w:val="1F3864" w:themeColor="accent1" w:themeShade="80"/>
          <w:sz w:val="20"/>
          <w:szCs w:val="20"/>
        </w:rPr>
        <w:t>Javno posvetovanje o metodologiji in postopkih za izračun nadomestila za nadzor</w:t>
      </w:r>
    </w:p>
    <w:p w14:paraId="3EF4B190" w14:textId="77777777" w:rsidR="00A961CB" w:rsidRPr="004D4FF4" w:rsidRDefault="00A961CB" w:rsidP="00A961CB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4C4CC916" w14:textId="77777777" w:rsidR="00A961CB" w:rsidRPr="004D4FF4" w:rsidRDefault="00A961CB" w:rsidP="00A961CB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Evropska komisija prek javnega posvetovanja do 19. januarja zbira mnenja in predloge o osnutku besedila z metodologijo in postopki za izračun nadomestila za nadzor v skladu z zakonom o digitalnih storitvah.</w:t>
      </w:r>
    </w:p>
    <w:p w14:paraId="38CB40C9" w14:textId="77777777" w:rsidR="00A961CB" w:rsidRPr="004D4FF4" w:rsidRDefault="00A961CB" w:rsidP="00A961CB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68813928" w14:textId="77777777" w:rsidR="00A961CB" w:rsidRPr="004D4FF4" w:rsidRDefault="00A961CB" w:rsidP="00A961CB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407AA114" w14:textId="77777777" w:rsidR="00A961CB" w:rsidRPr="002F1AF4" w:rsidRDefault="00A961CB" w:rsidP="00A961CB">
      <w:pPr>
        <w:jc w:val="both"/>
        <w:rPr>
          <w:rFonts w:ascii="Arial" w:hAnsi="Arial"/>
          <w:color w:val="FFC000"/>
          <w:sz w:val="20"/>
          <w:szCs w:val="20"/>
        </w:rPr>
      </w:pPr>
      <w:hyperlink r:id="rId9" w:history="1">
        <w:r w:rsidRPr="002F1AF4">
          <w:rPr>
            <w:rStyle w:val="Hyperlink"/>
            <w:rFonts w:ascii="Arial" w:hAnsi="Arial"/>
            <w:color w:val="FFC000"/>
            <w:sz w:val="20"/>
            <w:szCs w:val="20"/>
          </w:rPr>
          <w:t>Posvetovanje</w:t>
        </w:r>
      </w:hyperlink>
    </w:p>
    <w:p w14:paraId="652E344F" w14:textId="4248E126" w:rsidR="006C44ED" w:rsidRDefault="006C44ED">
      <w:pPr>
        <w:rPr>
          <w:rFonts w:ascii="Arial" w:hAnsi="Arial"/>
          <w:color w:val="1F3864" w:themeColor="accent1" w:themeShade="80"/>
        </w:rPr>
      </w:pPr>
    </w:p>
    <w:p w14:paraId="00F23A90" w14:textId="77777777" w:rsidR="00C47CB1" w:rsidRPr="004D4FF4" w:rsidRDefault="00C47CB1">
      <w:pPr>
        <w:rPr>
          <w:rFonts w:ascii="Arial" w:hAnsi="Arial"/>
          <w:color w:val="1F3864" w:themeColor="accent1" w:themeShade="80"/>
        </w:rPr>
      </w:pPr>
    </w:p>
    <w:p w14:paraId="555CA3AF" w14:textId="47C671D4" w:rsidR="00307021" w:rsidRPr="004D4FF4" w:rsidRDefault="00C47CB1">
      <w:pPr>
        <w:rPr>
          <w:rFonts w:ascii="Arial" w:hAnsi="Arial"/>
          <w:color w:val="1F3864" w:themeColor="accent1" w:themeShade="80"/>
        </w:rPr>
      </w:pPr>
      <w:r>
        <w:rPr>
          <w:rFonts w:ascii="Arial" w:hAnsi="Arial"/>
          <w:noProof/>
          <w:color w:val="1F3864" w:themeColor="accent1" w:themeShade="80"/>
        </w:rPr>
        <w:drawing>
          <wp:inline distT="0" distB="0" distL="0" distR="0" wp14:anchorId="050A8FCA" wp14:editId="0E3FD7DD">
            <wp:extent cx="2614479" cy="1047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807" cy="104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EF72" w14:textId="77777777" w:rsidR="00307021" w:rsidRPr="004D4FF4" w:rsidRDefault="00307021" w:rsidP="00307021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b/>
          <w:bCs/>
          <w:color w:val="1F3864" w:themeColor="accent1" w:themeShade="80"/>
          <w:sz w:val="20"/>
          <w:szCs w:val="20"/>
        </w:rPr>
        <w:t xml:space="preserve">Podjetja iz EU lahko koristijo ameriško shemo olajšav za čista gospodarska vozila </w:t>
      </w:r>
    </w:p>
    <w:p w14:paraId="5832CE9D" w14:textId="77777777" w:rsidR="00307021" w:rsidRPr="004D4FF4" w:rsidRDefault="00307021" w:rsidP="0030702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302D53F3" w14:textId="77777777" w:rsidR="00307021" w:rsidRPr="004D4FF4" w:rsidRDefault="00307021" w:rsidP="0030702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Nova navodila, ki so jih izdale ZDA, po razlagi Evropske komisije potrjujejo, da lahko podjetja iz EU koristijo shemo olajšav za čista gospodarska vozila v okviru ameriškega zakona o zmanjšanju inflacije.</w:t>
      </w:r>
    </w:p>
    <w:p w14:paraId="55FA4EDE" w14:textId="77777777" w:rsidR="00307021" w:rsidRPr="004D4FF4" w:rsidRDefault="00307021" w:rsidP="0030702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7EB08053" w14:textId="77777777" w:rsidR="00307021" w:rsidRPr="004D4FF4" w:rsidRDefault="00307021" w:rsidP="00307021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5437DCA6" w14:textId="77777777" w:rsidR="00307021" w:rsidRPr="002F1AF4" w:rsidRDefault="00307021" w:rsidP="00307021">
      <w:pPr>
        <w:jc w:val="both"/>
        <w:rPr>
          <w:rFonts w:ascii="Arial" w:hAnsi="Arial"/>
          <w:color w:val="FFC000"/>
          <w:sz w:val="20"/>
          <w:szCs w:val="20"/>
        </w:rPr>
      </w:pPr>
      <w:hyperlink r:id="rId11" w:history="1">
        <w:r w:rsidRPr="002F1AF4">
          <w:rPr>
            <w:rStyle w:val="Hyperlink"/>
            <w:rFonts w:ascii="Arial" w:hAnsi="Arial"/>
            <w:color w:val="FFC000"/>
            <w:sz w:val="20"/>
            <w:szCs w:val="20"/>
          </w:rPr>
          <w:t>Sporočilo Evropske komisije</w:t>
        </w:r>
      </w:hyperlink>
    </w:p>
    <w:p w14:paraId="44B2EC60" w14:textId="7EA82862" w:rsidR="00A961CB" w:rsidRPr="004D4FF4" w:rsidRDefault="00A961CB">
      <w:pPr>
        <w:rPr>
          <w:rFonts w:ascii="Arial" w:hAnsi="Arial"/>
          <w:color w:val="1F3864" w:themeColor="accent1" w:themeShade="80"/>
        </w:rPr>
      </w:pPr>
    </w:p>
    <w:p w14:paraId="14222A65" w14:textId="4D9F14FB" w:rsidR="00593604" w:rsidRPr="004D4FF4" w:rsidRDefault="00246D99">
      <w:pPr>
        <w:rPr>
          <w:rFonts w:ascii="Arial" w:hAnsi="Arial"/>
          <w:color w:val="1F3864" w:themeColor="accent1" w:themeShade="80"/>
        </w:rPr>
      </w:pPr>
      <w:r>
        <w:rPr>
          <w:rFonts w:ascii="Arial" w:hAnsi="Arial"/>
          <w:noProof/>
          <w:color w:val="1F3864" w:themeColor="accent1" w:themeShade="80"/>
        </w:rPr>
        <w:drawing>
          <wp:inline distT="0" distB="0" distL="0" distR="0" wp14:anchorId="7C399BD8" wp14:editId="0E3DD257">
            <wp:extent cx="2662015" cy="10668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24" cy="106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A3A7A" w14:textId="77777777" w:rsidR="00593604" w:rsidRPr="004D4FF4" w:rsidRDefault="00593604" w:rsidP="00593604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b/>
          <w:bCs/>
          <w:color w:val="1F3864" w:themeColor="accent1" w:themeShade="80"/>
          <w:sz w:val="20"/>
          <w:szCs w:val="20"/>
        </w:rPr>
        <w:t>Daljše prehodno obdobje za prilagoditev določbam uredbe o medicinskih pripomočkih</w:t>
      </w:r>
    </w:p>
    <w:p w14:paraId="28521CEF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712CC2A8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Evropska komisija predlaga daljše prehodno obdobje za certificiranje medicinskih pripomočkov v skladu z določbami uredbe o medicinskih pripomočkih.</w:t>
      </w:r>
    </w:p>
    <w:p w14:paraId="5D348BF5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43EA299E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094B76A8" w14:textId="77777777" w:rsidR="00593604" w:rsidRPr="002F1AF4" w:rsidRDefault="00593604" w:rsidP="00593604">
      <w:pPr>
        <w:jc w:val="both"/>
        <w:rPr>
          <w:rFonts w:ascii="Arial" w:hAnsi="Arial"/>
          <w:color w:val="FFC000"/>
          <w:sz w:val="20"/>
          <w:szCs w:val="20"/>
        </w:rPr>
      </w:pPr>
      <w:hyperlink r:id="rId13" w:history="1">
        <w:r w:rsidRPr="002F1AF4">
          <w:rPr>
            <w:rStyle w:val="Hyperlink"/>
            <w:rFonts w:ascii="Arial" w:hAnsi="Arial"/>
            <w:color w:val="FFC000"/>
            <w:sz w:val="20"/>
            <w:szCs w:val="20"/>
          </w:rPr>
          <w:t>Sporočilo Evropske komisije s povezavo na predlog sprememb</w:t>
        </w:r>
      </w:hyperlink>
    </w:p>
    <w:p w14:paraId="2F13BFDB" w14:textId="0B991700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0B141333" w14:textId="52DB3D17" w:rsidR="0059360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3FC37DD0" w14:textId="71D2A556" w:rsidR="00006E93" w:rsidRPr="004D4FF4" w:rsidRDefault="00006E93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>
        <w:rPr>
          <w:rFonts w:ascii="Arial" w:hAnsi="Arial"/>
          <w:noProof/>
          <w:color w:val="1F3864" w:themeColor="accent1" w:themeShade="80"/>
          <w:sz w:val="20"/>
          <w:szCs w:val="20"/>
        </w:rPr>
        <w:lastRenderedPageBreak/>
        <w:drawing>
          <wp:inline distT="0" distB="0" distL="0" distR="0" wp14:anchorId="2166A111" wp14:editId="3B120F13">
            <wp:extent cx="2638247" cy="1057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07" cy="10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41093" w14:textId="77777777" w:rsidR="00593604" w:rsidRPr="004D4FF4" w:rsidRDefault="00593604" w:rsidP="00593604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b/>
          <w:bCs/>
          <w:color w:val="1F3864" w:themeColor="accent1" w:themeShade="80"/>
          <w:sz w:val="20"/>
          <w:szCs w:val="20"/>
        </w:rPr>
        <w:t>Začela je delovati nova platforma EU za delovne migracije</w:t>
      </w:r>
    </w:p>
    <w:p w14:paraId="4DEC8CFA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06E927CB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Delovati je začela nova platforma EU za delovne migracije, ki je bila ustanovljena z namenom privabljanje oseb s potrebnimi znanji in spretnostmi ter talentov iz tretjih držav v EU.</w:t>
      </w:r>
    </w:p>
    <w:p w14:paraId="39A84979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08177FAD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0889C5BA" w14:textId="77777777" w:rsidR="00593604" w:rsidRPr="002F1AF4" w:rsidRDefault="00593604" w:rsidP="00593604">
      <w:pPr>
        <w:jc w:val="both"/>
        <w:rPr>
          <w:rFonts w:ascii="Arial" w:hAnsi="Arial"/>
          <w:color w:val="FFC000"/>
          <w:sz w:val="20"/>
          <w:szCs w:val="20"/>
        </w:rPr>
      </w:pPr>
      <w:hyperlink r:id="rId15" w:history="1">
        <w:r w:rsidRPr="002F1AF4">
          <w:rPr>
            <w:rStyle w:val="Hyperlink"/>
            <w:rFonts w:ascii="Arial" w:hAnsi="Arial"/>
            <w:color w:val="FFC000"/>
            <w:sz w:val="20"/>
            <w:szCs w:val="20"/>
          </w:rPr>
          <w:t>Sporočilo o vzpostavitvi platforme</w:t>
        </w:r>
      </w:hyperlink>
    </w:p>
    <w:p w14:paraId="287314B0" w14:textId="1C3147D9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299E0BC7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0C1F3B85" w14:textId="25006775" w:rsidR="00A30A14" w:rsidRDefault="00A30A14" w:rsidP="00593604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>
        <w:rPr>
          <w:rFonts w:ascii="Arial" w:hAnsi="Arial"/>
          <w:b/>
          <w:bCs/>
          <w:noProof/>
          <w:color w:val="1F3864" w:themeColor="accent1" w:themeShade="80"/>
          <w:sz w:val="20"/>
          <w:szCs w:val="20"/>
        </w:rPr>
        <w:drawing>
          <wp:inline distT="0" distB="0" distL="0" distR="0" wp14:anchorId="1F9F5305" wp14:editId="646789C9">
            <wp:extent cx="2661920" cy="1066762"/>
            <wp:effectExtent l="0" t="0" r="508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534" cy="10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D6C8B" w14:textId="57C3C311" w:rsidR="00593604" w:rsidRPr="004D4FF4" w:rsidRDefault="00593604" w:rsidP="00593604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b/>
          <w:bCs/>
          <w:color w:val="1F3864" w:themeColor="accent1" w:themeShade="80"/>
          <w:sz w:val="20"/>
          <w:szCs w:val="20"/>
        </w:rPr>
        <w:t xml:space="preserve">Sodba glede paketnih potovanj, na katere so vplivali protikoronski ukrepi </w:t>
      </w:r>
    </w:p>
    <w:p w14:paraId="6C69EAB5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365E1645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Potniki, na katerih paketno potovanje so vplivali protikoronski ukrepi, imajo lahko pravico do znižanja cene potovanja, jer razsodilo Sodišče EU.</w:t>
      </w:r>
    </w:p>
    <w:p w14:paraId="528919ED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70B47029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553FD7A5" w14:textId="77777777" w:rsidR="00593604" w:rsidRPr="002F1AF4" w:rsidRDefault="00593604" w:rsidP="00593604">
      <w:pPr>
        <w:jc w:val="both"/>
        <w:rPr>
          <w:rFonts w:ascii="Arial" w:hAnsi="Arial"/>
          <w:color w:val="FFC000"/>
          <w:sz w:val="20"/>
          <w:szCs w:val="20"/>
        </w:rPr>
      </w:pPr>
      <w:hyperlink r:id="rId17" w:history="1">
        <w:r w:rsidRPr="002F1AF4">
          <w:rPr>
            <w:rStyle w:val="Hyperlink"/>
            <w:rFonts w:ascii="Arial" w:hAnsi="Arial"/>
            <w:color w:val="FFC000"/>
            <w:sz w:val="20"/>
            <w:szCs w:val="20"/>
          </w:rPr>
          <w:t>Sodba</w:t>
        </w:r>
      </w:hyperlink>
    </w:p>
    <w:p w14:paraId="755B692F" w14:textId="2F3690C2" w:rsidR="00593604" w:rsidRPr="004D4FF4" w:rsidRDefault="00593604">
      <w:pPr>
        <w:rPr>
          <w:rFonts w:ascii="Arial" w:hAnsi="Arial"/>
          <w:color w:val="1F3864" w:themeColor="accent1" w:themeShade="80"/>
        </w:rPr>
      </w:pPr>
    </w:p>
    <w:p w14:paraId="5B5C368B" w14:textId="7BA56B0D" w:rsidR="00593604" w:rsidRPr="004D4FF4" w:rsidRDefault="00593604">
      <w:pPr>
        <w:rPr>
          <w:rFonts w:ascii="Arial" w:hAnsi="Arial"/>
          <w:color w:val="1F3864" w:themeColor="accent1" w:themeShade="80"/>
        </w:rPr>
      </w:pPr>
    </w:p>
    <w:p w14:paraId="52858C66" w14:textId="407095BE" w:rsidR="00EA25C8" w:rsidRDefault="00EA25C8" w:rsidP="00593604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>
        <w:rPr>
          <w:rFonts w:ascii="Arial" w:hAnsi="Arial"/>
          <w:b/>
          <w:bCs/>
          <w:noProof/>
          <w:color w:val="1F3864" w:themeColor="accent1" w:themeShade="80"/>
          <w:sz w:val="20"/>
          <w:szCs w:val="20"/>
        </w:rPr>
        <w:drawing>
          <wp:inline distT="0" distB="0" distL="0" distR="0" wp14:anchorId="19F20A2E" wp14:editId="22F871E7">
            <wp:extent cx="2638245" cy="1057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71" cy="105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89192" w14:textId="63FBEB7A" w:rsidR="00593604" w:rsidRPr="004D4FF4" w:rsidRDefault="00593604" w:rsidP="00593604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b/>
          <w:bCs/>
          <w:color w:val="1F3864" w:themeColor="accent1" w:themeShade="80"/>
          <w:sz w:val="20"/>
          <w:szCs w:val="20"/>
        </w:rPr>
        <w:t>Posvetovanje o smernicah za sporazume o trajnostnem razvoju v kmetijstvu</w:t>
      </w:r>
    </w:p>
    <w:p w14:paraId="1F255C6B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77572832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Evropska komisija prek javnega posvetovanja do 24. aprila zbira mnenja in predloge o osnutku smernic za sporazume o trajnostnem razvoju v kmetijstvu.</w:t>
      </w:r>
    </w:p>
    <w:p w14:paraId="65ADF043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5CE71BF8" w14:textId="77777777" w:rsidR="00593604" w:rsidRPr="004D4FF4" w:rsidRDefault="00593604" w:rsidP="00593604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2928ECEF" w14:textId="77777777" w:rsidR="00593604" w:rsidRPr="002F1AF4" w:rsidRDefault="00593604" w:rsidP="00593604">
      <w:pPr>
        <w:jc w:val="both"/>
        <w:rPr>
          <w:rFonts w:ascii="Arial" w:hAnsi="Arial"/>
          <w:color w:val="FFC000"/>
          <w:sz w:val="20"/>
          <w:szCs w:val="20"/>
        </w:rPr>
      </w:pPr>
      <w:hyperlink r:id="rId19" w:history="1">
        <w:r w:rsidRPr="002F1AF4">
          <w:rPr>
            <w:rStyle w:val="Hyperlink"/>
            <w:rFonts w:ascii="Arial" w:hAnsi="Arial"/>
            <w:color w:val="FFC000"/>
            <w:sz w:val="20"/>
            <w:szCs w:val="20"/>
          </w:rPr>
          <w:t>Posvetovanje</w:t>
        </w:r>
      </w:hyperlink>
      <w:r w:rsidRPr="002F1AF4">
        <w:rPr>
          <w:rFonts w:ascii="Arial" w:hAnsi="Arial"/>
          <w:color w:val="FFC000"/>
          <w:sz w:val="20"/>
          <w:szCs w:val="20"/>
        </w:rPr>
        <w:t xml:space="preserve"> </w:t>
      </w:r>
    </w:p>
    <w:p w14:paraId="1408DBE5" w14:textId="22165F9F" w:rsidR="00593604" w:rsidRPr="004D4FF4" w:rsidRDefault="00593604">
      <w:pPr>
        <w:rPr>
          <w:rFonts w:ascii="Arial" w:hAnsi="Arial"/>
          <w:color w:val="1F3864" w:themeColor="accent1" w:themeShade="80"/>
        </w:rPr>
      </w:pPr>
    </w:p>
    <w:p w14:paraId="4F5F2596" w14:textId="4CDB49F9" w:rsidR="00593604" w:rsidRDefault="00593604">
      <w:pPr>
        <w:rPr>
          <w:rFonts w:ascii="Arial" w:hAnsi="Arial"/>
          <w:color w:val="1F3864" w:themeColor="accent1" w:themeShade="80"/>
        </w:rPr>
      </w:pPr>
    </w:p>
    <w:p w14:paraId="13B1A243" w14:textId="68E79694" w:rsidR="006F1CAE" w:rsidRPr="004D4FF4" w:rsidRDefault="006F1CAE">
      <w:pPr>
        <w:rPr>
          <w:rFonts w:ascii="Arial" w:hAnsi="Arial"/>
          <w:color w:val="1F3864" w:themeColor="accent1" w:themeShade="80"/>
        </w:rPr>
      </w:pPr>
      <w:r>
        <w:rPr>
          <w:rFonts w:ascii="Arial" w:hAnsi="Arial"/>
          <w:noProof/>
          <w:color w:val="1F3864" w:themeColor="accent1" w:themeShade="80"/>
        </w:rPr>
        <w:drawing>
          <wp:inline distT="0" distB="0" distL="0" distR="0" wp14:anchorId="000EE88A" wp14:editId="3014103F">
            <wp:extent cx="2685783" cy="107632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621" cy="107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2BA96" w14:textId="77777777" w:rsidR="00200EB3" w:rsidRPr="004D4FF4" w:rsidRDefault="00200EB3" w:rsidP="00200EB3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b/>
          <w:bCs/>
          <w:color w:val="1F3864" w:themeColor="accent1" w:themeShade="80"/>
          <w:sz w:val="20"/>
          <w:szCs w:val="20"/>
        </w:rPr>
        <w:t>Odprto je javno posvetovanje o izmenjavi informacij, povezanih z varnostjo</w:t>
      </w:r>
    </w:p>
    <w:p w14:paraId="130CE5CF" w14:textId="77777777" w:rsidR="00200EB3" w:rsidRPr="004D4FF4" w:rsidRDefault="00200EB3" w:rsidP="00200EB3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70D8FD74" w14:textId="77777777" w:rsidR="00200EB3" w:rsidRPr="004D4FF4" w:rsidRDefault="00200EB3" w:rsidP="00200EB3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Evropska komisija prek javnega posvetovanja do 16. marca, zbira mnenja in predloge o novem zakonodajnem predlogu za izmenjavo informacij, povezanih z varnostjo, med EU in tretjimi državami.</w:t>
      </w:r>
    </w:p>
    <w:p w14:paraId="4F804160" w14:textId="77777777" w:rsidR="00200EB3" w:rsidRPr="004D4FF4" w:rsidRDefault="00200EB3" w:rsidP="00200EB3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0658F1FF" w14:textId="77777777" w:rsidR="00200EB3" w:rsidRPr="004D4FF4" w:rsidRDefault="00200EB3" w:rsidP="00200EB3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1D486941" w14:textId="77777777" w:rsidR="00200EB3" w:rsidRPr="002F1AF4" w:rsidRDefault="00200EB3" w:rsidP="00200EB3">
      <w:pPr>
        <w:jc w:val="both"/>
        <w:rPr>
          <w:rFonts w:ascii="Arial" w:hAnsi="Arial"/>
          <w:color w:val="FFC000"/>
          <w:sz w:val="20"/>
          <w:szCs w:val="20"/>
        </w:rPr>
      </w:pPr>
      <w:hyperlink r:id="rId21" w:history="1">
        <w:r w:rsidRPr="002F1AF4">
          <w:rPr>
            <w:rStyle w:val="Hyperlink"/>
            <w:rFonts w:ascii="Arial" w:hAnsi="Arial"/>
            <w:color w:val="FFC000"/>
            <w:sz w:val="20"/>
            <w:szCs w:val="20"/>
          </w:rPr>
          <w:t>Posvetovanje</w:t>
        </w:r>
      </w:hyperlink>
    </w:p>
    <w:p w14:paraId="60EA99DC" w14:textId="74C05D80" w:rsidR="00593604" w:rsidRPr="004D4FF4" w:rsidRDefault="00593604">
      <w:pPr>
        <w:rPr>
          <w:rFonts w:ascii="Arial" w:hAnsi="Arial"/>
          <w:color w:val="1F3864" w:themeColor="accent1" w:themeShade="80"/>
        </w:rPr>
      </w:pPr>
    </w:p>
    <w:p w14:paraId="12CFEF04" w14:textId="017E676D" w:rsidR="00200EB3" w:rsidRDefault="00200EB3">
      <w:pPr>
        <w:rPr>
          <w:rFonts w:ascii="Arial" w:hAnsi="Arial"/>
          <w:color w:val="1F3864" w:themeColor="accent1" w:themeShade="80"/>
        </w:rPr>
      </w:pPr>
    </w:p>
    <w:p w14:paraId="69527A84" w14:textId="6BB789EE" w:rsidR="007E2F15" w:rsidRPr="004D4FF4" w:rsidRDefault="007E2F15">
      <w:pPr>
        <w:rPr>
          <w:rFonts w:ascii="Arial" w:hAnsi="Arial"/>
          <w:color w:val="1F3864" w:themeColor="accent1" w:themeShade="80"/>
        </w:rPr>
      </w:pPr>
      <w:r>
        <w:rPr>
          <w:rFonts w:ascii="Arial" w:hAnsi="Arial"/>
          <w:noProof/>
          <w:color w:val="1F3864" w:themeColor="accent1" w:themeShade="80"/>
        </w:rPr>
        <w:drawing>
          <wp:inline distT="0" distB="0" distL="0" distR="0" wp14:anchorId="47B6C8B7" wp14:editId="04ECAECD">
            <wp:extent cx="2638247" cy="10572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87" cy="105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FC47D" w14:textId="77777777" w:rsidR="00200EB3" w:rsidRPr="004D4FF4" w:rsidRDefault="00200EB3" w:rsidP="00200EB3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b/>
          <w:bCs/>
          <w:color w:val="1F3864" w:themeColor="accent1" w:themeShade="80"/>
          <w:sz w:val="20"/>
          <w:szCs w:val="20"/>
        </w:rPr>
        <w:t>Objavljen je drugi razpis za pametna omrežja in storitve</w:t>
      </w:r>
    </w:p>
    <w:p w14:paraId="5BB1AE0D" w14:textId="77777777" w:rsidR="00200EB3" w:rsidRPr="004D4FF4" w:rsidRDefault="00200EB3" w:rsidP="00200EB3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4A6F0B41" w14:textId="31813637" w:rsidR="00200EB3" w:rsidRPr="004D4FF4" w:rsidRDefault="00200EB3" w:rsidP="00200EB3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 xml:space="preserve">Objavljen je drugi razpis za pametna omrežja in storitve. Rok za oddajo predlogov je 25. april. </w:t>
      </w:r>
    </w:p>
    <w:p w14:paraId="210F90FC" w14:textId="77777777" w:rsidR="00200EB3" w:rsidRPr="004D4FF4" w:rsidRDefault="00200EB3" w:rsidP="00200EB3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6D00BB04" w14:textId="3157E2E1" w:rsidR="00200EB3" w:rsidRPr="004D4FF4" w:rsidRDefault="00200EB3" w:rsidP="00200EB3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1EDC0791" w14:textId="717C9E23" w:rsidR="00200EB3" w:rsidRPr="002F1AF4" w:rsidRDefault="00200EB3" w:rsidP="00200EB3">
      <w:pPr>
        <w:jc w:val="both"/>
        <w:rPr>
          <w:rStyle w:val="Hyperlink"/>
          <w:rFonts w:ascii="Arial" w:hAnsi="Arial"/>
          <w:color w:val="FFC000"/>
          <w:sz w:val="20"/>
          <w:szCs w:val="20"/>
        </w:rPr>
      </w:pPr>
      <w:hyperlink r:id="rId23" w:history="1">
        <w:r w:rsidRPr="002F1AF4">
          <w:rPr>
            <w:rStyle w:val="Hyperlink"/>
            <w:rFonts w:ascii="Arial" w:hAnsi="Arial"/>
            <w:color w:val="FFC000"/>
            <w:sz w:val="20"/>
            <w:szCs w:val="20"/>
          </w:rPr>
          <w:t>Razpis</w:t>
        </w:r>
      </w:hyperlink>
    </w:p>
    <w:p w14:paraId="54CB9781" w14:textId="21801432" w:rsidR="006B443C" w:rsidRPr="004D4FF4" w:rsidRDefault="006B443C" w:rsidP="00200EB3">
      <w:pPr>
        <w:jc w:val="both"/>
        <w:rPr>
          <w:rStyle w:val="Hyperlink"/>
          <w:rFonts w:ascii="Arial" w:hAnsi="Arial"/>
          <w:color w:val="1F3864" w:themeColor="accent1" w:themeShade="80"/>
          <w:sz w:val="20"/>
          <w:szCs w:val="20"/>
        </w:rPr>
      </w:pPr>
    </w:p>
    <w:p w14:paraId="2A6C167D" w14:textId="77777777" w:rsidR="007E2F15" w:rsidRDefault="007E2F15" w:rsidP="006B443C">
      <w:pPr>
        <w:jc w:val="both"/>
        <w:rPr>
          <w:rStyle w:val="Hyperlink"/>
          <w:rFonts w:ascii="Arial" w:hAnsi="Arial"/>
          <w:b/>
          <w:bCs/>
          <w:color w:val="1F3864" w:themeColor="accent1" w:themeShade="80"/>
          <w:sz w:val="20"/>
          <w:szCs w:val="20"/>
        </w:rPr>
      </w:pPr>
    </w:p>
    <w:p w14:paraId="4259E881" w14:textId="5D3178B2" w:rsidR="006B443C" w:rsidRPr="004D4FF4" w:rsidRDefault="007E2F15" w:rsidP="006B443C">
      <w:pPr>
        <w:jc w:val="both"/>
        <w:rPr>
          <w:rFonts w:ascii="Arial" w:hAnsi="Arial"/>
          <w:b/>
          <w:bCs/>
          <w:color w:val="1F3864" w:themeColor="accent1" w:themeShade="80"/>
          <w:sz w:val="20"/>
          <w:szCs w:val="20"/>
        </w:rPr>
      </w:pPr>
      <w:r w:rsidRPr="007E2F15">
        <w:rPr>
          <w:rStyle w:val="Hyperlink"/>
          <w:rFonts w:ascii="Arial" w:hAnsi="Arial"/>
          <w:b/>
          <w:bCs/>
          <w:noProof/>
          <w:color w:val="1F3864" w:themeColor="accent1" w:themeShade="80"/>
          <w:sz w:val="20"/>
          <w:szCs w:val="20"/>
          <w:u w:val="none"/>
        </w:rPr>
        <w:drawing>
          <wp:inline distT="0" distB="0" distL="0" distR="0" wp14:anchorId="4163FF79" wp14:editId="4A20EA40">
            <wp:extent cx="2638247" cy="1057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40" cy="105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43C" w:rsidRPr="004D4FF4">
        <w:rPr>
          <w:rStyle w:val="Hyperlink"/>
          <w:rFonts w:ascii="Arial" w:hAnsi="Arial"/>
          <w:b/>
          <w:bCs/>
          <w:color w:val="1F3864" w:themeColor="accent1" w:themeShade="80"/>
          <w:sz w:val="20"/>
          <w:szCs w:val="20"/>
        </w:rPr>
        <w:br/>
      </w:r>
      <w:r w:rsidR="006B443C" w:rsidRPr="004D4FF4">
        <w:rPr>
          <w:rFonts w:ascii="Arial" w:hAnsi="Arial"/>
          <w:b/>
          <w:bCs/>
          <w:color w:val="1F3864" w:themeColor="accent1" w:themeShade="80"/>
          <w:sz w:val="20"/>
          <w:szCs w:val="20"/>
        </w:rPr>
        <w:t>Objavljen je pregled odprtih razpisov in pozivov programa EU za zdravje (EU4Health)</w:t>
      </w:r>
    </w:p>
    <w:p w14:paraId="0E396E50" w14:textId="77777777" w:rsidR="006B443C" w:rsidRPr="004D4FF4" w:rsidRDefault="006B443C" w:rsidP="006B443C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4C49B78C" w14:textId="77777777" w:rsidR="006B443C" w:rsidRPr="004D4FF4" w:rsidRDefault="006B443C" w:rsidP="006B443C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Evropska komisija je objavila pregled odprtih razpisov in pozivov prek katerih so na voljo evropska sredstva iz programa za zdravje (EU4Health).</w:t>
      </w:r>
    </w:p>
    <w:p w14:paraId="43135073" w14:textId="77777777" w:rsidR="006B443C" w:rsidRPr="004D4FF4" w:rsidRDefault="006B443C" w:rsidP="006B443C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57021668" w14:textId="77777777" w:rsidR="006B443C" w:rsidRPr="004D4FF4" w:rsidRDefault="006B443C" w:rsidP="006B443C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  <w:r w:rsidRPr="004D4FF4">
        <w:rPr>
          <w:rFonts w:ascii="Arial" w:hAnsi="Arial"/>
          <w:color w:val="1F3864" w:themeColor="accent1" w:themeShade="80"/>
          <w:sz w:val="20"/>
          <w:szCs w:val="20"/>
        </w:rPr>
        <w:t>Več:</w:t>
      </w:r>
    </w:p>
    <w:p w14:paraId="06226A54" w14:textId="77777777" w:rsidR="006B443C" w:rsidRPr="002F1AF4" w:rsidRDefault="006B443C" w:rsidP="006B443C">
      <w:pPr>
        <w:jc w:val="both"/>
        <w:rPr>
          <w:rFonts w:ascii="Arial" w:hAnsi="Arial"/>
          <w:color w:val="FFC000"/>
          <w:sz w:val="20"/>
          <w:szCs w:val="20"/>
        </w:rPr>
      </w:pPr>
      <w:hyperlink r:id="rId25" w:history="1">
        <w:r w:rsidRPr="002F1AF4">
          <w:rPr>
            <w:rStyle w:val="Hyperlink"/>
            <w:rFonts w:ascii="Arial" w:hAnsi="Arial"/>
            <w:color w:val="FFC000"/>
            <w:sz w:val="20"/>
            <w:szCs w:val="20"/>
          </w:rPr>
          <w:t>Pregled</w:t>
        </w:r>
      </w:hyperlink>
    </w:p>
    <w:p w14:paraId="2F16CAFC" w14:textId="77777777" w:rsidR="00693648" w:rsidRPr="004D4FF4" w:rsidRDefault="00693648" w:rsidP="00200EB3">
      <w:pPr>
        <w:jc w:val="both"/>
        <w:rPr>
          <w:rFonts w:ascii="Arial" w:hAnsi="Arial"/>
          <w:color w:val="1F3864" w:themeColor="accent1" w:themeShade="80"/>
          <w:sz w:val="20"/>
          <w:szCs w:val="20"/>
        </w:rPr>
        <w:sectPr w:rsidR="00693648" w:rsidRPr="004D4FF4" w:rsidSect="00996FB9">
          <w:headerReference w:type="first" r:id="rId26"/>
          <w:pgSz w:w="11906" w:h="16838"/>
          <w:pgMar w:top="1440" w:right="1440" w:bottom="1440" w:left="1440" w:header="708" w:footer="708" w:gutter="0"/>
          <w:cols w:num="2" w:space="708"/>
          <w:titlePg/>
          <w:docGrid w:linePitch="360"/>
        </w:sectPr>
      </w:pPr>
    </w:p>
    <w:p w14:paraId="49937DF5" w14:textId="7155C41F" w:rsidR="006B443C" w:rsidRPr="004D4FF4" w:rsidRDefault="006B443C" w:rsidP="00200EB3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p w14:paraId="13A793C1" w14:textId="77777777" w:rsidR="00200EB3" w:rsidRPr="004D4FF4" w:rsidRDefault="00200EB3" w:rsidP="00200EB3">
      <w:pPr>
        <w:jc w:val="both"/>
        <w:rPr>
          <w:rFonts w:ascii="Arial" w:hAnsi="Arial"/>
          <w:color w:val="1F3864" w:themeColor="accent1" w:themeShade="80"/>
          <w:sz w:val="20"/>
          <w:szCs w:val="20"/>
        </w:rPr>
      </w:pPr>
    </w:p>
    <w:sectPr w:rsidR="00200EB3" w:rsidRPr="004D4FF4" w:rsidSect="0069364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6ACE" w14:textId="77777777" w:rsidR="00096098" w:rsidRDefault="00096098" w:rsidP="00996FB9">
      <w:r>
        <w:separator/>
      </w:r>
    </w:p>
  </w:endnote>
  <w:endnote w:type="continuationSeparator" w:id="0">
    <w:p w14:paraId="4FFD3A46" w14:textId="77777777" w:rsidR="00096098" w:rsidRDefault="00096098" w:rsidP="0099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7F8D9" w14:textId="77777777" w:rsidR="00096098" w:rsidRDefault="00096098" w:rsidP="00996FB9">
      <w:r>
        <w:separator/>
      </w:r>
    </w:p>
  </w:footnote>
  <w:footnote w:type="continuationSeparator" w:id="0">
    <w:p w14:paraId="7D429030" w14:textId="77777777" w:rsidR="00096098" w:rsidRDefault="00096098" w:rsidP="0099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C376" w14:textId="4A1D3912" w:rsidR="00996FB9" w:rsidRDefault="00996FB9">
    <w:pPr>
      <w:pStyle w:val="Header"/>
    </w:pPr>
    <w:r>
      <w:rPr>
        <w:noProof/>
      </w:rPr>
      <w:drawing>
        <wp:inline distT="0" distB="0" distL="0" distR="0" wp14:anchorId="1F654B60" wp14:editId="1E33F3D0">
          <wp:extent cx="5715000" cy="2600325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CB"/>
    <w:rsid w:val="00006E93"/>
    <w:rsid w:val="00096098"/>
    <w:rsid w:val="00200EB3"/>
    <w:rsid w:val="00246D99"/>
    <w:rsid w:val="002C5F47"/>
    <w:rsid w:val="002F1AF4"/>
    <w:rsid w:val="00307021"/>
    <w:rsid w:val="004D4FF4"/>
    <w:rsid w:val="00593604"/>
    <w:rsid w:val="00693648"/>
    <w:rsid w:val="006B443C"/>
    <w:rsid w:val="006C44ED"/>
    <w:rsid w:val="006F1CAE"/>
    <w:rsid w:val="007E2F15"/>
    <w:rsid w:val="008F7489"/>
    <w:rsid w:val="00987BAD"/>
    <w:rsid w:val="00996FB9"/>
    <w:rsid w:val="00A30A14"/>
    <w:rsid w:val="00A961CB"/>
    <w:rsid w:val="00C47CB1"/>
    <w:rsid w:val="00EA25C8"/>
    <w:rsid w:val="00F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BB8315"/>
  <w15:chartTrackingRefBased/>
  <w15:docId w15:val="{8C7454FB-B299-4B4E-9F82-9C601AF8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CB"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val="sl-SI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61C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6F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FB9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996FB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FB9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c.europa.eu/commission/presscorner/detail/sl/ip_23_23" TargetMode="External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ec.europa.eu/info/law/better-regulation/have-your-say/initiatives/13243-Izmenjava-informacij-povezanih-z-varnostjo-vzajemni-dostop-za-uradnike-na-terenu-v-EU-in-v-kljucnih-partnerskih-drzavah_sl" TargetMode="External"/><Relationship Id="rId7" Type="http://schemas.openxmlformats.org/officeDocument/2006/relationships/hyperlink" Target="https://commission.europa.eu/document/18d3e4e4-c337-496b-af98-77729fea0c19_s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curia.europa.eu/juris/documents.jsf?num=C-396/21" TargetMode="External"/><Relationship Id="rId25" Type="http://schemas.openxmlformats.org/officeDocument/2006/relationships/hyperlink" Target="https://hadea.ec.europa.eu/news/current-open-calls-under-eu4health-programme-2023-01-17_e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c.europa.eu/commission/presscorner/detail/sl/IP_22_7869" TargetMode="Externa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hyperlink" Target="https://home-affairs.ec.europa.eu/news/labour-migration-commission-and-member-states-advance-cooperation-through-new-platform-2023-01-10_sl" TargetMode="External"/><Relationship Id="rId23" Type="http://schemas.openxmlformats.org/officeDocument/2006/relationships/hyperlink" Target="https://ec.europa.eu/info/funding-tenders/opportunities/portal/screen/opportunities/topic-search;callCode=null;freeTextSearchKeyword=sns;matchWholeText=true;typeCodes=1,0;statusCodes=31094501,31094502;programmePeriod=null;programCcm2Id=43108390;programDivi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competition-policy.ec.europa.eu/public-consultations/2023-sustainability-agreements-agriculture_s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c.europa.eu/info/law/better-regulation/have-your-say/initiatives/13625-Akt-o-digitalnih-storitvah-metodologija-za-izracun-pristojbine-za-nadzor_s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2</cp:revision>
  <dcterms:created xsi:type="dcterms:W3CDTF">2023-01-26T12:52:00Z</dcterms:created>
  <dcterms:modified xsi:type="dcterms:W3CDTF">2023-01-26T12:52:00Z</dcterms:modified>
</cp:coreProperties>
</file>