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D4353" w14:paraId="74723DD4" w14:textId="77777777" w:rsidTr="008D4353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D4353" w14:paraId="1EE1DE4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D4353" w14:paraId="22D3A55D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8D4353" w14:paraId="6E58D1CE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7F976709" w14:textId="4B022982" w:rsidR="008D4353" w:rsidRDefault="008D4353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56FB62FF" wp14:editId="2A10365C">
                                    <wp:extent cx="5372100" cy="2444750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2444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075D0AF" w14:textId="77777777" w:rsidR="008D4353" w:rsidRDefault="008D435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7BA7D2" w14:textId="77777777" w:rsidR="008D4353" w:rsidRDefault="008D435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A1861F1" w14:textId="77777777" w:rsidR="008D4353" w:rsidRDefault="008D4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353" w14:paraId="20B5E656" w14:textId="77777777" w:rsidTr="008D4353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D4353" w14:paraId="17A2B25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D4353" w14:paraId="1AB01D77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8D4353" w14:paraId="69DB82A0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8D4353" w14:paraId="5351DB1A" w14:textId="77777777" w:rsidTr="008D4353">
                                <w:trPr>
                                  <w:trHeight w:val="7378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DBAE1B4" w14:textId="77777777" w:rsidR="008D4353" w:rsidRDefault="008D4353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Na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voljo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so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vavčerji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boljšo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zaščito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intelektualne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lastnine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malih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srednjih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podjetij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  <w:t> </w:t>
                                    </w:r>
                                  </w:p>
                                  <w:p w14:paraId="6571A19C" w14:textId="3EFBF56A" w:rsidR="008D4353" w:rsidRDefault="008D4353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0511C2C2" wp14:editId="06A33A30">
                                          <wp:extent cx="2540000" cy="1022350"/>
                                          <wp:effectExtent l="0" t="0" r="0" b="6350"/>
                                          <wp:docPr id="10" name="Picture 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Program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Sklad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  za mala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srednja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podjetja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(The Ideas Powered for Business SME Fund - IP Voucher),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katerem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voljo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20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milijonov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začel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sprejemati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vloge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 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malih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srednjih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podjetij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boljšo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zaščito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svoje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intelektualne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lastnine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nacionalni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ravni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ravni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EU. Na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voljo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finančna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podpora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obliki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vavčerjev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višini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do 1500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.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letu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2021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voljo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pet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rokov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oddajo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vlog,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prvi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izteče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31.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januarja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Vloge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poslane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zunaj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teh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rokov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bodo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zavrgli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6" w:tgtFrame="_blank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Spletna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stran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EUIPO z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informacijo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o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vavčerjih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064F50D6" w14:textId="77777777" w:rsidR="008D4353" w:rsidRDefault="008D435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8D4353" w14:paraId="568F31D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BDCD3CC" w14:textId="77777777" w:rsidR="008D4353" w:rsidRDefault="008D4353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pionirske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inovacije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vesoljskem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sektorju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napovedanih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300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milijonov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evrov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naložb</w:t>
                                    </w:r>
                                    <w:proofErr w:type="spellEnd"/>
                                  </w:p>
                                  <w:p w14:paraId="51B5F979" w14:textId="01299B22" w:rsidR="008D4353" w:rsidRDefault="008D4353">
                                    <w:pPr>
                                      <w:pStyle w:val="Heading3"/>
                                      <w:jc w:val="both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5693218" wp14:editId="12632907">
                                          <wp:extent cx="2540000" cy="1022350"/>
                                          <wp:effectExtent l="0" t="0" r="0" b="6350"/>
                                          <wp:docPr id="9" name="Picture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D3071EB" w14:textId="77777777" w:rsidR="008D4353" w:rsidRDefault="008D4353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investicijski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sklad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(EIS)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napovedala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300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milijonov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naložb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mala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srednja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podjetja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podporo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pionirskim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inovacijam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vesoljskem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sektorju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InnovFin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Space Equity Pilot).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Sredstva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bodo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voljo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okviru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skladov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  Orbital Ventures in Primo Space,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usmerjena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vesoljsko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tehnologijo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.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prvi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četrtini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letošnjega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leta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predvidena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napoved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še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investicije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8" w:tgtFrame="_blank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Spletna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stran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z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informacijami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o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instrumentu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InnovFin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4E77ED68" w14:textId="77777777" w:rsidR="008D4353" w:rsidRDefault="008D435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2F17C8" w14:textId="77777777" w:rsidR="008D4353" w:rsidRDefault="008D435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1670E7B" w14:textId="77777777" w:rsidR="008D4353" w:rsidRDefault="008D4353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D4353" w14:paraId="07FBD37F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8D4353" w14:paraId="310B4BC4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9A383FD" w14:textId="77777777" w:rsidR="008D4353" w:rsidRDefault="008D4353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966634A" w14:textId="77777777" w:rsidR="008D4353" w:rsidRDefault="008D435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2ED58CC" w14:textId="77777777" w:rsidR="008D4353" w:rsidRDefault="008D4353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D4353" w14:paraId="7F62DBCE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8D4353" w14:paraId="050613B5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8D4353" w14:paraId="2D34C61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67463A6" w14:textId="607FE4CA" w:rsidR="008D4353" w:rsidRDefault="008D4353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odobrila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slovensko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shemo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pomoči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lastRenderedPageBreak/>
                                      <w:t>vredno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900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milijonov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evrov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7FB37D3C" wp14:editId="6F210313">
                                          <wp:extent cx="2540000" cy="1022350"/>
                                          <wp:effectExtent l="0" t="0" r="0" b="6350"/>
                                          <wp:docPr id="8" name="Pictur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A1FB377" w14:textId="77777777" w:rsidR="008D4353" w:rsidRDefault="008D4353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odobrila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slovensko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shemo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pomoči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vredno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900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milijonov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za del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nekritih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fiksnih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stroškov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podjetij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prizadel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izbruh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koronavirusa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0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Sklep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Evropske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komisije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5CA0C69C" w14:textId="77777777" w:rsidR="008D4353" w:rsidRDefault="008D435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8D4353" w14:paraId="469E8A9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EF02F7B" w14:textId="77777777" w:rsidR="008D4353" w:rsidRDefault="008D4353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lastRenderedPageBreak/>
                                      <w:t xml:space="preserve">EU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Kitajska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sta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dosegli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načelni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dogovor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investicijskem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sporazumu</w:t>
                                    </w:r>
                                    <w:proofErr w:type="spellEnd"/>
                                  </w:p>
                                  <w:p w14:paraId="7F5A4F3B" w14:textId="0212CB2C" w:rsidR="008D4353" w:rsidRDefault="008D4353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606060"/>
                                        <w:sz w:val="23"/>
                                        <w:szCs w:val="23"/>
                                      </w:rPr>
                                      <w:lastRenderedPageBreak/>
                                      <w:drawing>
                                        <wp:inline distT="0" distB="0" distL="0" distR="0" wp14:anchorId="23D861AE" wp14:editId="0CC87A91">
                                          <wp:extent cx="2540000" cy="1022350"/>
                                          <wp:effectExtent l="0" t="0" r="0" b="6350"/>
                                          <wp:docPr id="7" name="Picture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EU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Kitajska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dosegli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načelni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dogovor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investicijskem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sporazumu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bi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evropskim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podjetjem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olajšal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dostop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do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kitajskega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2" w:tgtFrame="_blank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Sporočilo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Evropske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komisije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4B36812A" w14:textId="77777777" w:rsidR="008D4353" w:rsidRDefault="008D435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52ECC5C" w14:textId="77777777" w:rsidR="008D4353" w:rsidRDefault="008D435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976DBE" w14:textId="77777777" w:rsidR="008D4353" w:rsidRDefault="008D4353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D4353" w14:paraId="16441D97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8D4353" w14:paraId="29568D09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259C7E5" w14:textId="77777777" w:rsidR="008D4353" w:rsidRDefault="008D4353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86D5ADF" w14:textId="77777777" w:rsidR="008D4353" w:rsidRDefault="008D435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E2FF801" w14:textId="77777777" w:rsidR="008D4353" w:rsidRDefault="008D4353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D4353" w14:paraId="4335E495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8D4353" w14:paraId="13F7386E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8D4353" w14:paraId="41357E7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14A2983" w14:textId="1D6E5811" w:rsidR="008D4353" w:rsidRDefault="008D4353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potrdila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svoj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načrt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izdajo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obveznic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letu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2021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3F2825DB" wp14:editId="757ED2EA">
                                          <wp:extent cx="2540000" cy="1022350"/>
                                          <wp:effectExtent l="0" t="0" r="0" b="6350"/>
                                          <wp:docPr id="6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352756B0" w14:textId="77777777" w:rsidR="008D4353" w:rsidRDefault="008D4353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potrdila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svoj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načrt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izdajo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obveznic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letu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2021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okviru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obstoječih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programov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zadolževanja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. 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Mednje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sodijo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instrument SURE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podporo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kratkoročnim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shemam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zaposlovanja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državah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članicah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mehanizem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finančno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stabilizacijo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(EFSM)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refinanciranje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dolga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dvema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državama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ter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makrofinančna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pomoč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(MFA)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pomoč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državam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niso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članice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 in se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soočajo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krizo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zaradi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koronavirusa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. EU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skupaj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okviru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teh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treh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programov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zbrala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vsaj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62,9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milijarde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od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50,8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milijarde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SURE 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4" w:tgtFrame="_blank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Spletna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stran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z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informacijami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o EU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kot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izdajateljici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obveznic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3C40B375" w14:textId="77777777" w:rsidR="008D4353" w:rsidRDefault="008D435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8D4353" w14:paraId="3277090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9315364" w14:textId="77777777" w:rsidR="008D4353" w:rsidRDefault="008D4353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odobrila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slovensko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shemo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pomoči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kmetom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ribičem</w:t>
                                    </w:r>
                                    <w:proofErr w:type="spellEnd"/>
                                  </w:p>
                                  <w:p w14:paraId="1458EC89" w14:textId="216973E6" w:rsidR="008D4353" w:rsidRDefault="008D4353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02410DA4" wp14:editId="047BEE16">
                                          <wp:extent cx="2540000" cy="1022350"/>
                                          <wp:effectExtent l="0" t="0" r="0" b="6350"/>
                                          <wp:docPr id="5" name="Pictur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odobrila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slovensko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shemo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pomoči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višini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197 000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podporo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kmetom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ribičem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Nepovratna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sredstva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okviru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sheme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bodo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voljo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mikropodjetjem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fizičnim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osebam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),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dejavnim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sektorjih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kmetijstva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gozdarstva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ribištva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akvakulture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nastanitvenih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dejavnosti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ter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gostinstva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pijač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6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Spletna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stran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s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sklepom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Evropske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komisije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1BA13EE9" w14:textId="77777777" w:rsidR="008D4353" w:rsidRDefault="008D435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3C87E4" w14:textId="77777777" w:rsidR="008D4353" w:rsidRDefault="008D435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8F0F29" w14:textId="77777777" w:rsidR="008D4353" w:rsidRDefault="008D4353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D4353" w14:paraId="3D73C31C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8D4353" w14:paraId="6801FD59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C454201" w14:textId="77777777" w:rsidR="008D4353" w:rsidRDefault="008D4353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F612922" w14:textId="77777777" w:rsidR="008D4353" w:rsidRDefault="008D435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10E722" w14:textId="77777777" w:rsidR="008D4353" w:rsidRDefault="008D4353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D4353" w14:paraId="0281B24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8D4353" w14:paraId="48C0EECA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8D4353" w14:paraId="0DBA3DD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C7FD4A6" w14:textId="7BA051FE" w:rsidR="008D4353" w:rsidRDefault="008D4353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lastRenderedPageBreak/>
                                      <w:t>Prenovljen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Evropski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kodeks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pravilnega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ravnanja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ponudnike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mikrokreditov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4B50035" wp14:editId="642BB3DF">
                                          <wp:extent cx="2540000" cy="1022350"/>
                                          <wp:effectExtent l="0" t="0" r="0" b="6350"/>
                                          <wp:docPr id="4" name="Pictur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3F0DC137" w14:textId="77777777" w:rsidR="008D4353" w:rsidRDefault="008D4353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S 1.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januarjem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2021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stopil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veljavo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prenovljen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kodeks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pravilnega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ravnanja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ponudnike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mikrokreditov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8" w:tgtFrame="_blank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Spletna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stran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z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informacijami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o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novostih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in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povezavo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na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kodeks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3CE21E71" w14:textId="77777777" w:rsidR="008D4353" w:rsidRDefault="008D435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8D4353" w14:paraId="0F3EE06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9B6B2A3" w14:textId="77777777" w:rsidR="008D4353" w:rsidRDefault="008D4353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Objavljena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študija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kdo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prihodnjih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desetletjih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predvidoma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proizvajal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hrano</w:t>
                                    </w:r>
                                    <w:proofErr w:type="spellEnd"/>
                                  </w:p>
                                  <w:p w14:paraId="00EFEC0A" w14:textId="75F420BC" w:rsidR="008D4353" w:rsidRDefault="008D4353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7ED5AA7F" wp14:editId="5FC07923">
                                          <wp:extent cx="2540000" cy="1022350"/>
                                          <wp:effectExtent l="0" t="0" r="0" b="6350"/>
                                          <wp:docPr id="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Raziskovalci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Skupnega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raziskovalnega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središča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(JRC) so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objavili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rezultate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študije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pridelovanju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hrane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prihodnosti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kateri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identificirali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12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značilnosti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kmetov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prihodnosti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0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Študija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7A347031" w14:textId="77777777" w:rsidR="008D4353" w:rsidRDefault="008D435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959BAB" w14:textId="77777777" w:rsidR="008D4353" w:rsidRDefault="008D435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A05E3A" w14:textId="77777777" w:rsidR="008D4353" w:rsidRDefault="008D4353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D4353" w14:paraId="19B37488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8D4353" w14:paraId="0B2581F9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574B9F27" w14:textId="77777777" w:rsidR="008D4353" w:rsidRDefault="008D4353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8F7E907" w14:textId="77777777" w:rsidR="008D4353" w:rsidRDefault="008D435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8A47B9" w14:textId="77777777" w:rsidR="008D4353" w:rsidRDefault="008D4353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D4353" w14:paraId="0945CE14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8D4353" w14:paraId="5EDEDB0C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8D4353" w14:paraId="409CF02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7EE2E2B" w14:textId="35D0EADF" w:rsidR="008D4353" w:rsidRDefault="008D4353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lastRenderedPageBreak/>
                                      <w:t>Nove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smernice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pripravo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vlog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obnovo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dovoljenj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aditive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krmi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5FAD8A6" wp14:editId="32A317B3">
                                          <wp:extent cx="2540000" cy="1022350"/>
                                          <wp:effectExtent l="0" t="0" r="0" b="6350"/>
                                          <wp:docPr id="2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76DF6AC" w14:textId="77777777" w:rsidR="008D4353" w:rsidRDefault="008D4353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agencija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varnost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hrane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(EFSA)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objavila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nove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smernice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pripravo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vlog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obnovo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dovoljenj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uporabo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aditivov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krmi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2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Nove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smernice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5FB64044" w14:textId="77777777" w:rsidR="008D4353" w:rsidRDefault="008D435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8D4353" w14:paraId="61F454CB" w14:textId="77777777" w:rsidTr="008D4353">
                                <w:trPr>
                                  <w:trHeight w:val="8641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DCC55B4" w14:textId="77777777" w:rsidR="008D4353" w:rsidRDefault="008D4353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Projekti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skupnega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interesa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s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področja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pametnih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omrežij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ogljikovega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dioksida</w:t>
                                    </w:r>
                                    <w:proofErr w:type="spellEnd"/>
                                  </w:p>
                                  <w:p w14:paraId="5300D4E6" w14:textId="2C4729F8" w:rsidR="008D4353" w:rsidRDefault="008D4353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635644B9" wp14:editId="1A222DE3">
                                          <wp:extent cx="2540000" cy="1022350"/>
                                          <wp:effectExtent l="0" t="0" r="0" b="6350"/>
                                          <wp:docPr id="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0000" cy="1022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objavila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razpisa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zbiranje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prijav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projektov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področju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pametnih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omrežij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ogljikovega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dioksida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bi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deležniki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želeli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uvrstiti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peto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različico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seznama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 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projektov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skupnega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interesa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(PCI). To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različico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seznama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namerava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potrditi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konec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leta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2021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podlagi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veljavne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uredbe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transevropskih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energetskih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omrežjih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(TEN-E).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Konec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leta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  2020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pripravila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predlog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sprememb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uredbe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pa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bodo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stopile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veljavo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ko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pripravi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šesta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različica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seznama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PCI.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Predloge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projektov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uvrstitev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peto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različico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seznama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zbira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do 8.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marca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2021.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4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Razpis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za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projekte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pametnih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omrežij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5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Razpis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za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projekte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ogljikovega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dioksida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7565D665" w14:textId="77777777" w:rsidR="008D4353" w:rsidRDefault="008D435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6864D07" w14:textId="77777777" w:rsidR="008D4353" w:rsidRDefault="008D435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FF8226" w14:textId="77777777" w:rsidR="008D4353" w:rsidRDefault="008D4353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D4353" w14:paraId="256D5B58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8D4353" w14:paraId="56F8C9AD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630BE13" w14:textId="77777777" w:rsidR="008D4353" w:rsidRDefault="008D4353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15DC578" w14:textId="77777777" w:rsidR="008D4353" w:rsidRDefault="008D435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561522" w14:textId="77777777" w:rsidR="008D4353" w:rsidRDefault="008D4353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D4353" w14:paraId="4E96B44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D4353" w14:paraId="3C770981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D4353" w14:paraId="42B595D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475B535" w14:textId="77777777" w:rsidR="008D4353" w:rsidRDefault="008D4353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Emphasis"/>
                                        <w:rFonts w:ascii="Helvetica" w:eastAsia="Times New Roman" w:hAnsi="Helvetica" w:cs="Helvetica"/>
                                        <w:color w:val="000080"/>
                                        <w:sz w:val="18"/>
                                        <w:szCs w:val="18"/>
                                      </w:rPr>
                                      <w:t>Copyright © 2021 Slovenian Business &amp; Research Association (SBRA), All rights reserved.</w:t>
                                    </w:r>
                                  </w:p>
                                </w:tc>
                              </w:tr>
                            </w:tbl>
                            <w:p w14:paraId="4B41F594" w14:textId="77777777" w:rsidR="008D4353" w:rsidRDefault="008D435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B4726E" w14:textId="77777777" w:rsidR="008D4353" w:rsidRDefault="008D435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8E4111" w14:textId="77777777" w:rsidR="008D4353" w:rsidRDefault="008D4353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D4353" w14:paraId="2AA6DEDC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8D4353" w14:paraId="085C01FA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8D4353" w14:paraId="66111F7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A62CAAC" w14:textId="77777777" w:rsidR="008D4353" w:rsidRDefault="008D4353">
                                    <w:pPr>
                                      <w:pStyle w:val="Heading3"/>
                                      <w:jc w:val="both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8895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56"/>
                                      <w:gridCol w:w="7574"/>
                                      <w:gridCol w:w="65"/>
                                    </w:tblGrid>
                                    <w:tr w:rsidR="008D4353" w14:paraId="4B67BB7A" w14:textId="77777777">
                                      <w:trPr>
                                        <w:trHeight w:val="60"/>
                                      </w:trPr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B05E360" w14:textId="77777777" w:rsidR="008D4353" w:rsidRDefault="008D4353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69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BF0D13D" w14:textId="77777777" w:rsidR="008D4353" w:rsidRDefault="008D4353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097D233" w14:textId="77777777" w:rsidR="008D4353" w:rsidRDefault="008D4353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5902610" w14:textId="77777777" w:rsidR="008D4353" w:rsidRDefault="008D435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F1B290" w14:textId="77777777" w:rsidR="008D4353" w:rsidRDefault="008D435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C4881F" w14:textId="77777777" w:rsidR="008D4353" w:rsidRDefault="008D435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EC07057" w14:textId="77777777" w:rsidR="008D4353" w:rsidRDefault="008D435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79F98CD" w14:textId="77777777" w:rsidR="008D4353" w:rsidRDefault="008D435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EA458B" w14:textId="77777777" w:rsidR="001E0747" w:rsidRDefault="008D4353"/>
    <w:sectPr w:rsidR="001E0747" w:rsidSect="008D4353">
      <w:pgSz w:w="11906" w:h="16838"/>
      <w:pgMar w:top="568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53"/>
    <w:rsid w:val="00775FAB"/>
    <w:rsid w:val="008D4353"/>
    <w:rsid w:val="00D3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8F4BE"/>
  <w15:chartTrackingRefBased/>
  <w15:docId w15:val="{87E2F0F4-F4E4-4E14-8346-F0AB9117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53"/>
    <w:pPr>
      <w:spacing w:after="0" w:line="240" w:lineRule="auto"/>
    </w:pPr>
    <w:rPr>
      <w:rFonts w:ascii="Calibri" w:hAnsi="Calibri" w:cs="Calibri"/>
      <w:lang w:val="en-BE" w:eastAsia="en-B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8D4353"/>
    <w:pPr>
      <w:spacing w:line="300" w:lineRule="auto"/>
      <w:outlineLvl w:val="2"/>
    </w:pPr>
    <w:rPr>
      <w:rFonts w:ascii="Helvetica" w:hAnsi="Helvetica" w:cs="Helvetica"/>
      <w:b/>
      <w:bCs/>
      <w:color w:val="606060"/>
      <w:spacing w:val="-8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D4353"/>
    <w:rPr>
      <w:rFonts w:ascii="Helvetica" w:hAnsi="Helvetica" w:cs="Helvetica"/>
      <w:b/>
      <w:bCs/>
      <w:color w:val="606060"/>
      <w:spacing w:val="-8"/>
      <w:sz w:val="27"/>
      <w:szCs w:val="27"/>
      <w:lang w:val="en-BE" w:eastAsia="en-BE"/>
    </w:rPr>
  </w:style>
  <w:style w:type="character" w:styleId="Strong">
    <w:name w:val="Strong"/>
    <w:basedOn w:val="DefaultParagraphFont"/>
    <w:uiPriority w:val="22"/>
    <w:qFormat/>
    <w:rsid w:val="008D43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435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D4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ra.us8.list-manage.com/track/click?u=e6e6edab27aee286b10f651f9&amp;id=f0b3646d34&amp;e=b881071455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sbra.us8.list-manage.com/track/click?u=e6e6edab27aee286b10f651f9&amp;id=fd2c493067&amp;e=b88107145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hyperlink" Target="https://sbra.us8.list-manage.com/track/click?u=e6e6edab27aee286b10f651f9&amp;id=c2891ce50d&amp;e=b881071455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sbra.us8.list-manage.com/track/click?u=e6e6edab27aee286b10f651f9&amp;id=0cc1657452&amp;e=b8810714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bra.us8.list-manage.com/track/click?u=e6e6edab27aee286b10f651f9&amp;id=eb0caf682a&amp;e=b881071455" TargetMode="External"/><Relationship Id="rId20" Type="http://schemas.openxmlformats.org/officeDocument/2006/relationships/hyperlink" Target="https://sbra.us8.list-manage.com/track/click?u=e6e6edab27aee286b10f651f9&amp;id=f4d0c54c8d&amp;e=b881071455" TargetMode="External"/><Relationship Id="rId1" Type="http://schemas.openxmlformats.org/officeDocument/2006/relationships/styles" Target="styles.xml"/><Relationship Id="rId6" Type="http://schemas.openxmlformats.org/officeDocument/2006/relationships/hyperlink" Target="https://sbra.us8.list-manage.com/track/click?u=e6e6edab27aee286b10f651f9&amp;id=b662f69d2e&amp;e=b881071455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sbra.us8.list-manage.com/track/click?u=e6e6edab27aee286b10f651f9&amp;id=7ece29e58a&amp;e=b881071455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openxmlformats.org/officeDocument/2006/relationships/hyperlink" Target="https://sbra.us8.list-manage.com/track/click?u=e6e6edab27aee286b10f651f9&amp;id=af15ff6d6b&amp;e=b881071455" TargetMode="External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s://sbra.us8.list-manage.com/track/click?u=e6e6edab27aee286b10f651f9&amp;id=111de371df&amp;e=b881071455" TargetMode="External"/><Relationship Id="rId22" Type="http://schemas.openxmlformats.org/officeDocument/2006/relationships/hyperlink" Target="https://sbra.us8.list-manage.com/track/click?u=e6e6edab27aee286b10f651f9&amp;id=56de61b343&amp;e=b88107145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Sinkovec</dc:creator>
  <cp:keywords/>
  <dc:description/>
  <cp:lastModifiedBy>Bostjan Sinkovec</cp:lastModifiedBy>
  <cp:revision>1</cp:revision>
  <dcterms:created xsi:type="dcterms:W3CDTF">2021-01-22T12:40:00Z</dcterms:created>
  <dcterms:modified xsi:type="dcterms:W3CDTF">2021-01-22T12:42:00Z</dcterms:modified>
</cp:coreProperties>
</file>