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0E" w:rsidRDefault="00DD3747" w:rsidP="00870A0E">
      <w:pPr>
        <w:tabs>
          <w:tab w:val="left" w:pos="2520"/>
          <w:tab w:val="left" w:pos="2700"/>
        </w:tabs>
        <w:jc w:val="center"/>
      </w:pPr>
      <w:r>
        <w:rPr>
          <w:noProof/>
          <w:lang w:val="en-US" w:eastAsia="en-US"/>
        </w:rPr>
        <w:drawing>
          <wp:inline distT="0" distB="0" distL="0" distR="0">
            <wp:extent cx="2000250" cy="1028700"/>
            <wp:effectExtent l="19050" t="0" r="0" b="0"/>
            <wp:docPr id="1" name="Picture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70A0E" w:rsidRDefault="00870A0E" w:rsidP="00870A0E">
      <w:pPr>
        <w:pStyle w:val="Heading2"/>
        <w:jc w:val="center"/>
        <w:rPr>
          <w:b w:val="0"/>
          <w:bCs w:val="0"/>
          <w:i w:val="0"/>
          <w:iCs w:val="0"/>
          <w:sz w:val="22"/>
        </w:rPr>
      </w:pPr>
      <w:r>
        <w:rPr>
          <w:b w:val="0"/>
          <w:bCs w:val="0"/>
          <w:i w:val="0"/>
          <w:iCs w:val="0"/>
          <w:sz w:val="22"/>
        </w:rPr>
        <w:t>Slovensko gospodarsko in raziskovalno združenje, Bruselj</w:t>
      </w:r>
    </w:p>
    <w:p w:rsidR="00870A0E" w:rsidRDefault="00870A0E" w:rsidP="00870A0E">
      <w:pPr>
        <w:pBdr>
          <w:bottom w:val="single" w:sz="6" w:space="1" w:color="auto"/>
        </w:pBdr>
        <w:jc w:val="center"/>
        <w:rPr>
          <w:sz w:val="16"/>
          <w:szCs w:val="16"/>
        </w:rPr>
      </w:pPr>
    </w:p>
    <w:p w:rsidR="00870A0E" w:rsidRDefault="00870A0E" w:rsidP="00870A0E">
      <w:pPr>
        <w:jc w:val="center"/>
        <w:rPr>
          <w:rFonts w:cs="Arial"/>
          <w:b/>
        </w:rPr>
      </w:pPr>
      <w:r>
        <w:rPr>
          <w:rFonts w:cs="Arial"/>
          <w:b/>
        </w:rPr>
        <w:t xml:space="preserve">Občasna informacija članom </w:t>
      </w:r>
      <w:r w:rsidR="00D62535">
        <w:rPr>
          <w:rFonts w:cs="Arial"/>
          <w:b/>
        </w:rPr>
        <w:t>43</w:t>
      </w:r>
      <w:r>
        <w:rPr>
          <w:rFonts w:cs="Arial"/>
          <w:b/>
        </w:rPr>
        <w:t xml:space="preserve"> -2014</w:t>
      </w:r>
    </w:p>
    <w:p w:rsidR="00870A0E" w:rsidRDefault="00870A0E" w:rsidP="00870A0E">
      <w:pPr>
        <w:jc w:val="center"/>
        <w:rPr>
          <w:rFonts w:cs="Arial"/>
          <w:b/>
        </w:rPr>
      </w:pPr>
      <w:r>
        <w:rPr>
          <w:rFonts w:cs="Arial"/>
          <w:b/>
        </w:rPr>
        <w:t>16. junij 2014</w:t>
      </w:r>
    </w:p>
    <w:p w:rsidR="00870A0E" w:rsidRPr="0000219A" w:rsidRDefault="00870A0E" w:rsidP="00870A0E">
      <w:pPr>
        <w:jc w:val="center"/>
        <w:rPr>
          <w:rFonts w:cs="Arial"/>
          <w:b/>
        </w:rPr>
      </w:pPr>
    </w:p>
    <w:p w:rsidR="00870A0E" w:rsidRDefault="00870A0E" w:rsidP="00870A0E">
      <w:pPr>
        <w:jc w:val="center"/>
        <w:rPr>
          <w:rFonts w:cs="Arial"/>
          <w:b/>
          <w:color w:val="993300"/>
          <w:sz w:val="32"/>
          <w:szCs w:val="32"/>
        </w:rPr>
      </w:pPr>
      <w:r>
        <w:rPr>
          <w:rFonts w:cs="Arial"/>
          <w:b/>
          <w:color w:val="993300"/>
          <w:sz w:val="32"/>
          <w:szCs w:val="32"/>
        </w:rPr>
        <w:t>Strateški okvir za zdravje pri delu</w:t>
      </w:r>
    </w:p>
    <w:p w:rsidR="00870A0E" w:rsidRDefault="00870A0E" w:rsidP="00F03B61">
      <w:pPr>
        <w:jc w:val="both"/>
        <w:rPr>
          <w:rFonts w:ascii="Arial" w:hAnsi="Arial" w:cs="Arial"/>
          <w:b/>
          <w:i/>
          <w:sz w:val="22"/>
          <w:szCs w:val="22"/>
        </w:rPr>
      </w:pPr>
    </w:p>
    <w:p w:rsidR="003F2EAB" w:rsidRPr="00F03B61" w:rsidRDefault="003F2EAB" w:rsidP="00F03B61">
      <w:pPr>
        <w:jc w:val="both"/>
        <w:rPr>
          <w:rFonts w:ascii="Arial" w:hAnsi="Arial" w:cs="Arial"/>
          <w:b/>
          <w:i/>
          <w:sz w:val="22"/>
          <w:szCs w:val="22"/>
        </w:rPr>
      </w:pPr>
      <w:r w:rsidRPr="00F03B61">
        <w:rPr>
          <w:rFonts w:ascii="Arial" w:hAnsi="Arial" w:cs="Arial"/>
          <w:b/>
          <w:i/>
          <w:sz w:val="22"/>
          <w:szCs w:val="22"/>
        </w:rPr>
        <w:t xml:space="preserve">Za boljšo zaščito več kot 217 milijonov delavcev v EU pred z delom povezanimi nesrečami in boleznimi je Evropska komisija predstavila nov strateški okvir za zdravje in varnost pri delu za obdobje 2014–2020. V okviru so opredeljeni ključni izzivi in strateški cilji na področju zdravja in varnosti pri delu ter predstavljeni ključni ukrepi in opredeljeni instrumenti za njihovo obravnavo. </w:t>
      </w:r>
    </w:p>
    <w:p w:rsidR="003F2EAB" w:rsidRPr="00F03B61" w:rsidRDefault="003F2EAB" w:rsidP="00F03B61">
      <w:pPr>
        <w:jc w:val="both"/>
        <w:rPr>
          <w:rFonts w:ascii="Arial" w:hAnsi="Arial" w:cs="Arial"/>
          <w:sz w:val="20"/>
          <w:szCs w:val="20"/>
        </w:rPr>
      </w:pPr>
    </w:p>
    <w:p w:rsidR="003F2EAB" w:rsidRPr="00F03B61" w:rsidRDefault="003F2EAB" w:rsidP="00F03B61">
      <w:pPr>
        <w:jc w:val="both"/>
        <w:rPr>
          <w:rFonts w:ascii="Arial" w:hAnsi="Arial" w:cs="Arial"/>
          <w:sz w:val="20"/>
          <w:szCs w:val="20"/>
        </w:rPr>
      </w:pPr>
      <w:r w:rsidRPr="00F03B61">
        <w:rPr>
          <w:rFonts w:ascii="Arial" w:hAnsi="Arial" w:cs="Arial"/>
          <w:sz w:val="20"/>
          <w:szCs w:val="20"/>
        </w:rPr>
        <w:t xml:space="preserve">Ljudje imajo pravico delati, ne da bi bili na delovnem mestu izpostavljeni zdravstvenim ali varnostnim tveganjem. Kljub temu so več kot 3 milijoni delavcev v EU vsako leto žrtve hudih nesreč pri delu, 4 tisoč pa se jih smrtno ponesreči. Z delom povezane nesreče in bolezni so prisotne v vseh sektorjih in poklicih, ne glede na to, ali ljudje sedijo za delovno mizo, vozijo tovornjak ali delajo v rudniku ali na gradbišču. Ne povzročijo le osebnega trpljenja, temveč tudi visoke stroške podjetjem in družbi kot celoti, pojasnjujejo na Evropski komisiji. </w:t>
      </w:r>
    </w:p>
    <w:p w:rsidR="003F2EAB" w:rsidRPr="00F03B61" w:rsidRDefault="003F2EAB" w:rsidP="00F03B61">
      <w:pPr>
        <w:jc w:val="both"/>
        <w:rPr>
          <w:rFonts w:ascii="Arial" w:hAnsi="Arial" w:cs="Arial"/>
          <w:sz w:val="20"/>
          <w:szCs w:val="20"/>
        </w:rPr>
      </w:pPr>
    </w:p>
    <w:p w:rsidR="003F2EAB" w:rsidRPr="00F03B61" w:rsidRDefault="003F2EAB" w:rsidP="00F03B61">
      <w:pPr>
        <w:jc w:val="both"/>
        <w:rPr>
          <w:rFonts w:ascii="Arial" w:hAnsi="Arial" w:cs="Arial"/>
          <w:sz w:val="20"/>
          <w:szCs w:val="20"/>
        </w:rPr>
      </w:pPr>
      <w:r w:rsidRPr="00F03B61">
        <w:rPr>
          <w:rFonts w:ascii="Arial" w:hAnsi="Arial" w:cs="Arial"/>
          <w:sz w:val="20"/>
          <w:szCs w:val="20"/>
        </w:rPr>
        <w:t>V strateškem okviru so opredeljeni trije glavni izzivi glede zdravja in varnosti pri delu. Prvi je</w:t>
      </w:r>
      <w:r w:rsidR="00B324E3">
        <w:rPr>
          <w:rFonts w:ascii="Arial" w:hAnsi="Arial" w:cs="Arial"/>
          <w:sz w:val="20"/>
          <w:szCs w:val="20"/>
        </w:rPr>
        <w:t xml:space="preserve"> </w:t>
      </w:r>
      <w:r w:rsidRPr="00F03B61">
        <w:rPr>
          <w:rFonts w:ascii="Arial" w:hAnsi="Arial" w:cs="Arial"/>
          <w:sz w:val="20"/>
          <w:szCs w:val="20"/>
        </w:rPr>
        <w:t>izboljšati izvajanje obstoječih pravil v zvezi z zdravjem in varnostjo, zlasti s krepitvijo zmogljivosti mikro in malih podjetij, da vzpostavijo učinkovite in uspešne strategije za preprečevanje tveganj. Drugi je izboljšati preprečevanje z delom povezanih bolezni z obravnavanjem novih in nastajajočih tveganj, ne da bi pri tem zanemarili obstoječa tveganja. Tretji je upoštevati staranje delovne sile EU.</w:t>
      </w:r>
    </w:p>
    <w:p w:rsidR="003F2EAB" w:rsidRPr="00F03B61" w:rsidRDefault="003F2EAB" w:rsidP="00F03B61">
      <w:pPr>
        <w:jc w:val="both"/>
        <w:rPr>
          <w:rFonts w:ascii="Arial" w:hAnsi="Arial" w:cs="Arial"/>
          <w:sz w:val="20"/>
          <w:szCs w:val="20"/>
        </w:rPr>
      </w:pPr>
    </w:p>
    <w:p w:rsidR="003F2EAB" w:rsidRPr="00F03B61" w:rsidRDefault="003F2EAB" w:rsidP="00F03B61">
      <w:pPr>
        <w:jc w:val="both"/>
        <w:rPr>
          <w:rFonts w:ascii="Arial" w:hAnsi="Arial" w:cs="Arial"/>
          <w:sz w:val="20"/>
          <w:szCs w:val="20"/>
        </w:rPr>
      </w:pPr>
      <w:r w:rsidRPr="00F03B61">
        <w:rPr>
          <w:rFonts w:ascii="Arial" w:hAnsi="Arial" w:cs="Arial"/>
          <w:sz w:val="20"/>
          <w:szCs w:val="20"/>
        </w:rPr>
        <w:t>V strateškem okviru je predvideno, da bi se teh izzivov lotili z ukrepi za uresničevanje sedmih ključnih strateških c</w:t>
      </w:r>
      <w:r w:rsidR="009F417C" w:rsidRPr="00F03B61">
        <w:rPr>
          <w:rFonts w:ascii="Arial" w:hAnsi="Arial" w:cs="Arial"/>
          <w:sz w:val="20"/>
          <w:szCs w:val="20"/>
        </w:rPr>
        <w:t xml:space="preserve">iljev. Prvi strateški cilj je </w:t>
      </w:r>
      <w:r w:rsidRPr="00F03B61">
        <w:rPr>
          <w:rFonts w:ascii="Arial" w:hAnsi="Arial" w:cs="Arial"/>
          <w:sz w:val="20"/>
          <w:szCs w:val="20"/>
        </w:rPr>
        <w:t>nadaljnja utrditev nacionalnih strategij za zdravje in varnost, na primer s koordinacijo politik in vzajemnim učenjem</w:t>
      </w:r>
      <w:r w:rsidR="009F417C" w:rsidRPr="00F03B61">
        <w:rPr>
          <w:rFonts w:ascii="Arial" w:hAnsi="Arial" w:cs="Arial"/>
          <w:sz w:val="20"/>
          <w:szCs w:val="20"/>
        </w:rPr>
        <w:t xml:space="preserve">. Drugi strateški cilj je </w:t>
      </w:r>
      <w:r w:rsidRPr="00F03B61">
        <w:rPr>
          <w:rFonts w:ascii="Arial" w:hAnsi="Arial" w:cs="Arial"/>
          <w:sz w:val="20"/>
          <w:szCs w:val="20"/>
        </w:rPr>
        <w:t>praktična podpora za mala in mikro podjetja, ki omogoča boljšo uskladitev s pravili o zdravju in varnosti. Podjetja bi imela na voljo tehnično podporo in praktična orodja, kot je na primer spletno interaktivno orodje za oceno tveganja (OiRA – spletna platforma, ki zagotavlja sekt</w:t>
      </w:r>
      <w:r w:rsidR="009F417C" w:rsidRPr="00F03B61">
        <w:rPr>
          <w:rFonts w:ascii="Arial" w:hAnsi="Arial" w:cs="Arial"/>
          <w:sz w:val="20"/>
          <w:szCs w:val="20"/>
        </w:rPr>
        <w:t xml:space="preserve">orska orodja za oceno tveganja). Tretji cilj je </w:t>
      </w:r>
      <w:r w:rsidRPr="00F03B61">
        <w:rPr>
          <w:rFonts w:ascii="Arial" w:hAnsi="Arial" w:cs="Arial"/>
          <w:sz w:val="20"/>
          <w:szCs w:val="20"/>
        </w:rPr>
        <w:t>izboljšanje izvrševanja s strani držav članic, na primer z ocenjevanjem učinkovitosti nacionalnih inšpektoratov za delo</w:t>
      </w:r>
      <w:r w:rsidR="009F417C" w:rsidRPr="00F03B61">
        <w:rPr>
          <w:rFonts w:ascii="Arial" w:hAnsi="Arial" w:cs="Arial"/>
          <w:sz w:val="20"/>
          <w:szCs w:val="20"/>
        </w:rPr>
        <w:t>.</w:t>
      </w:r>
    </w:p>
    <w:p w:rsidR="009F417C" w:rsidRPr="00F03B61" w:rsidRDefault="009F417C" w:rsidP="00F03B61">
      <w:pPr>
        <w:jc w:val="both"/>
        <w:rPr>
          <w:rFonts w:ascii="Arial" w:hAnsi="Arial" w:cs="Arial"/>
          <w:sz w:val="20"/>
          <w:szCs w:val="20"/>
        </w:rPr>
      </w:pPr>
    </w:p>
    <w:p w:rsidR="003F2EAB" w:rsidRPr="00F03B61" w:rsidRDefault="009F417C" w:rsidP="00F03B61">
      <w:pPr>
        <w:jc w:val="both"/>
        <w:rPr>
          <w:rFonts w:ascii="Arial" w:hAnsi="Arial" w:cs="Arial"/>
          <w:sz w:val="20"/>
          <w:szCs w:val="20"/>
        </w:rPr>
      </w:pPr>
      <w:r w:rsidRPr="00F03B61">
        <w:rPr>
          <w:rFonts w:ascii="Arial" w:hAnsi="Arial" w:cs="Arial"/>
          <w:sz w:val="20"/>
          <w:szCs w:val="20"/>
        </w:rPr>
        <w:t xml:space="preserve">Četrti cilj je </w:t>
      </w:r>
      <w:r w:rsidR="003F2EAB" w:rsidRPr="00F03B61">
        <w:rPr>
          <w:rFonts w:ascii="Arial" w:hAnsi="Arial" w:cs="Arial"/>
          <w:sz w:val="20"/>
          <w:szCs w:val="20"/>
        </w:rPr>
        <w:t>poenostavitev obstoječe zakonodaje, v kolikor je to potrebno za odpravo nepotrebnih upravnih bremen, pri tem pa ohranjanje visoke ravni varovanja zdravja in varnosti</w:t>
      </w:r>
      <w:r w:rsidRPr="00F03B61">
        <w:rPr>
          <w:rFonts w:ascii="Arial" w:hAnsi="Arial" w:cs="Arial"/>
          <w:sz w:val="20"/>
          <w:szCs w:val="20"/>
        </w:rPr>
        <w:t xml:space="preserve"> delavcev. Peti cilj je </w:t>
      </w:r>
      <w:r w:rsidR="003F2EAB" w:rsidRPr="00F03B61">
        <w:rPr>
          <w:rFonts w:ascii="Arial" w:hAnsi="Arial" w:cs="Arial"/>
          <w:sz w:val="20"/>
          <w:szCs w:val="20"/>
        </w:rPr>
        <w:t>obravnavanje starajoče se evropske delovne sile in izboljšanje preprečevanja z delom povezanih bolezni, da bi odpravili obstoječe in nove nevarnosti, kot so nanomateriali, zelen</w:t>
      </w:r>
      <w:r w:rsidRPr="00F03B61">
        <w:rPr>
          <w:rFonts w:ascii="Arial" w:hAnsi="Arial" w:cs="Arial"/>
          <w:sz w:val="20"/>
          <w:szCs w:val="20"/>
        </w:rPr>
        <w:t xml:space="preserve">e tehnologije in biotehnologije. Šesti cilj je </w:t>
      </w:r>
      <w:r w:rsidR="003F2EAB" w:rsidRPr="00F03B61">
        <w:rPr>
          <w:rFonts w:ascii="Arial" w:hAnsi="Arial" w:cs="Arial"/>
          <w:sz w:val="20"/>
          <w:szCs w:val="20"/>
        </w:rPr>
        <w:t>izboljšanje zbiranja statističnih podatkov za pridobitev boljših dokazov in razvoj orodij za spremljanje</w:t>
      </w:r>
      <w:r w:rsidRPr="00F03B61">
        <w:rPr>
          <w:rFonts w:ascii="Arial" w:hAnsi="Arial" w:cs="Arial"/>
          <w:sz w:val="20"/>
          <w:szCs w:val="20"/>
        </w:rPr>
        <w:t xml:space="preserve">. In sedmi cilj je </w:t>
      </w:r>
      <w:r w:rsidR="003F2EAB" w:rsidRPr="00F03B61">
        <w:rPr>
          <w:rFonts w:ascii="Arial" w:hAnsi="Arial" w:cs="Arial"/>
          <w:sz w:val="20"/>
          <w:szCs w:val="20"/>
        </w:rPr>
        <w:t>okrepitev usklajevanja z mednarodnimi organizacijami, kot so Mednarodna organizacija dela (ILO), Svetovna zdravstvena organizacija (WHO) in Organizacija za gospodarsko sodelovanje in razvoj (OECD), ter z drugimi partnerji, da bi se prispevalo k zmanjšanju nesreč pri delu in poklicnih bolezni ter izboljšanju delovnih pogojev po vsem svetu.</w:t>
      </w:r>
    </w:p>
    <w:p w:rsidR="009F417C" w:rsidRPr="00F03B61" w:rsidRDefault="009F417C" w:rsidP="00F03B61">
      <w:pPr>
        <w:jc w:val="both"/>
        <w:rPr>
          <w:rFonts w:ascii="Arial" w:hAnsi="Arial" w:cs="Arial"/>
          <w:sz w:val="20"/>
          <w:szCs w:val="20"/>
        </w:rPr>
      </w:pPr>
    </w:p>
    <w:p w:rsidR="003F2EAB" w:rsidRPr="00F03B61" w:rsidRDefault="009F417C" w:rsidP="00F03B61">
      <w:pPr>
        <w:jc w:val="both"/>
        <w:rPr>
          <w:rFonts w:ascii="Arial" w:hAnsi="Arial" w:cs="Arial"/>
          <w:sz w:val="20"/>
          <w:szCs w:val="20"/>
        </w:rPr>
      </w:pPr>
      <w:r w:rsidRPr="00F03B61">
        <w:rPr>
          <w:rFonts w:ascii="Arial" w:hAnsi="Arial" w:cs="Arial"/>
          <w:sz w:val="20"/>
          <w:szCs w:val="20"/>
        </w:rPr>
        <w:t xml:space="preserve">Instrumenti za izvajanje teh ukrepov so </w:t>
      </w:r>
      <w:r w:rsidR="003F2EAB" w:rsidRPr="00F03B61">
        <w:rPr>
          <w:rFonts w:ascii="Arial" w:hAnsi="Arial" w:cs="Arial"/>
          <w:sz w:val="20"/>
          <w:szCs w:val="20"/>
        </w:rPr>
        <w:t>socialni dialog, ozaveščanje, izvrševanje zakonodaje EU, sinergije z drugimi področji politike (npr. javno zdravje, izobraževanje) ter sredstva EU (npr. Evropski socialni sklad (ESS) in program EU za zaposlovanje in socialne inovacije), ki so na voljo za pospeševanje izvajanja pravil o zdravju in varnosti.</w:t>
      </w:r>
    </w:p>
    <w:p w:rsidR="009F417C" w:rsidRPr="00F03B61" w:rsidRDefault="009F417C" w:rsidP="00F03B61">
      <w:pPr>
        <w:jc w:val="both"/>
        <w:rPr>
          <w:rFonts w:ascii="Arial" w:hAnsi="Arial" w:cs="Arial"/>
          <w:sz w:val="20"/>
          <w:szCs w:val="20"/>
        </w:rPr>
      </w:pPr>
    </w:p>
    <w:p w:rsidR="003F2EAB" w:rsidRPr="00B324E3" w:rsidRDefault="009F417C" w:rsidP="00F03B61">
      <w:pPr>
        <w:jc w:val="both"/>
        <w:rPr>
          <w:rFonts w:ascii="Arial" w:hAnsi="Arial" w:cs="Arial"/>
          <w:b/>
          <w:sz w:val="20"/>
          <w:szCs w:val="20"/>
        </w:rPr>
      </w:pPr>
      <w:r w:rsidRPr="00B324E3">
        <w:rPr>
          <w:rFonts w:ascii="Arial" w:hAnsi="Arial" w:cs="Arial"/>
          <w:b/>
          <w:sz w:val="20"/>
          <w:szCs w:val="20"/>
        </w:rPr>
        <w:lastRenderedPageBreak/>
        <w:t>Koristne informacije:</w:t>
      </w:r>
    </w:p>
    <w:p w:rsidR="00DE745A" w:rsidRPr="00F03B61" w:rsidRDefault="00DE745A" w:rsidP="00F03B61">
      <w:pPr>
        <w:jc w:val="both"/>
        <w:rPr>
          <w:rFonts w:ascii="Arial" w:hAnsi="Arial" w:cs="Arial"/>
          <w:sz w:val="20"/>
          <w:szCs w:val="20"/>
        </w:rPr>
      </w:pPr>
    </w:p>
    <w:p w:rsidR="00A4623D" w:rsidRPr="00F03B61" w:rsidRDefault="00587C67" w:rsidP="00B324E3">
      <w:pPr>
        <w:numPr>
          <w:ilvl w:val="0"/>
          <w:numId w:val="1"/>
        </w:numPr>
        <w:jc w:val="both"/>
        <w:rPr>
          <w:rFonts w:ascii="Arial" w:hAnsi="Arial" w:cs="Arial"/>
          <w:sz w:val="20"/>
          <w:szCs w:val="20"/>
        </w:rPr>
      </w:pPr>
      <w:r w:rsidRPr="00F03B61">
        <w:rPr>
          <w:rFonts w:ascii="Arial" w:hAnsi="Arial" w:cs="Arial"/>
          <w:sz w:val="20"/>
          <w:szCs w:val="20"/>
        </w:rPr>
        <w:t>Spletna stran s strateškim okvirom:</w:t>
      </w:r>
    </w:p>
    <w:p w:rsidR="00587C67" w:rsidRPr="00F03B61" w:rsidRDefault="006D04A7" w:rsidP="00B324E3">
      <w:pPr>
        <w:numPr>
          <w:ilvl w:val="0"/>
          <w:numId w:val="1"/>
        </w:numPr>
        <w:jc w:val="both"/>
        <w:rPr>
          <w:rFonts w:ascii="Arial" w:hAnsi="Arial" w:cs="Arial"/>
          <w:sz w:val="20"/>
          <w:szCs w:val="20"/>
        </w:rPr>
      </w:pPr>
      <w:hyperlink r:id="rId6" w:history="1">
        <w:r w:rsidR="00587C67" w:rsidRPr="00F03B61">
          <w:rPr>
            <w:rStyle w:val="Hyperlink"/>
            <w:rFonts w:ascii="Arial" w:hAnsi="Arial" w:cs="Arial"/>
            <w:sz w:val="20"/>
            <w:szCs w:val="20"/>
          </w:rPr>
          <w:t>http://ec.europa.eu/social/main.jsp?langId=sl&amp;catId=89&amp;newsId=2053&amp;furtherNews=yes</w:t>
        </w:r>
      </w:hyperlink>
    </w:p>
    <w:p w:rsidR="00587C67" w:rsidRPr="00F03B61" w:rsidRDefault="00C772CA" w:rsidP="00B324E3">
      <w:pPr>
        <w:numPr>
          <w:ilvl w:val="0"/>
          <w:numId w:val="1"/>
        </w:numPr>
        <w:jc w:val="both"/>
        <w:rPr>
          <w:rFonts w:ascii="Arial" w:hAnsi="Arial" w:cs="Arial"/>
          <w:sz w:val="20"/>
          <w:szCs w:val="20"/>
        </w:rPr>
      </w:pPr>
      <w:r w:rsidRPr="00F03B61">
        <w:rPr>
          <w:rFonts w:ascii="Arial" w:hAnsi="Arial" w:cs="Arial"/>
          <w:sz w:val="20"/>
          <w:szCs w:val="20"/>
        </w:rPr>
        <w:t>Spletno interaktivno orodje za oceno tveganja OiRA:</w:t>
      </w:r>
    </w:p>
    <w:p w:rsidR="00C772CA" w:rsidRPr="00F03B61" w:rsidRDefault="006D04A7" w:rsidP="00B324E3">
      <w:pPr>
        <w:numPr>
          <w:ilvl w:val="0"/>
          <w:numId w:val="1"/>
        </w:numPr>
        <w:jc w:val="both"/>
        <w:rPr>
          <w:rFonts w:ascii="Arial" w:hAnsi="Arial" w:cs="Arial"/>
          <w:sz w:val="20"/>
          <w:szCs w:val="20"/>
        </w:rPr>
      </w:pPr>
      <w:hyperlink r:id="rId7" w:history="1">
        <w:r w:rsidR="00C772CA" w:rsidRPr="00F03B61">
          <w:rPr>
            <w:rStyle w:val="Hyperlink"/>
            <w:rFonts w:ascii="Arial" w:hAnsi="Arial" w:cs="Arial"/>
            <w:sz w:val="20"/>
            <w:szCs w:val="20"/>
          </w:rPr>
          <w:t>http://www.oiraproject.eu/</w:t>
        </w:r>
      </w:hyperlink>
    </w:p>
    <w:p w:rsidR="00C772CA" w:rsidRPr="00F03B61" w:rsidRDefault="00C772CA" w:rsidP="00F03B61">
      <w:pPr>
        <w:jc w:val="both"/>
        <w:rPr>
          <w:rFonts w:ascii="Arial" w:hAnsi="Arial" w:cs="Arial"/>
          <w:sz w:val="20"/>
          <w:szCs w:val="20"/>
        </w:rPr>
      </w:pPr>
    </w:p>
    <w:p w:rsidR="00C772CA" w:rsidRPr="00F03B61" w:rsidRDefault="00C772CA" w:rsidP="00B324E3">
      <w:pPr>
        <w:numPr>
          <w:ilvl w:val="0"/>
          <w:numId w:val="1"/>
        </w:numPr>
        <w:jc w:val="both"/>
        <w:rPr>
          <w:rFonts w:ascii="Arial" w:hAnsi="Arial" w:cs="Arial"/>
          <w:sz w:val="20"/>
          <w:szCs w:val="20"/>
        </w:rPr>
      </w:pPr>
      <w:r w:rsidRPr="00F03B61">
        <w:rPr>
          <w:rFonts w:ascii="Arial" w:hAnsi="Arial" w:cs="Arial"/>
          <w:sz w:val="20"/>
          <w:szCs w:val="20"/>
        </w:rPr>
        <w:t>Evropski socialni sklad (ESS):</w:t>
      </w:r>
    </w:p>
    <w:p w:rsidR="00C772CA" w:rsidRPr="00F03B61" w:rsidRDefault="006D04A7" w:rsidP="00B324E3">
      <w:pPr>
        <w:numPr>
          <w:ilvl w:val="0"/>
          <w:numId w:val="1"/>
        </w:numPr>
        <w:jc w:val="both"/>
        <w:rPr>
          <w:rFonts w:ascii="Arial" w:hAnsi="Arial" w:cs="Arial"/>
          <w:sz w:val="20"/>
          <w:szCs w:val="20"/>
        </w:rPr>
      </w:pPr>
      <w:hyperlink r:id="rId8" w:history="1">
        <w:r w:rsidR="00C772CA" w:rsidRPr="00F03B61">
          <w:rPr>
            <w:rStyle w:val="Hyperlink"/>
            <w:rFonts w:ascii="Arial" w:hAnsi="Arial" w:cs="Arial"/>
            <w:sz w:val="20"/>
            <w:szCs w:val="20"/>
          </w:rPr>
          <w:t>http://ec.europa.eu/esf/home.jsp?langId=sl</w:t>
        </w:r>
      </w:hyperlink>
    </w:p>
    <w:p w:rsidR="00C772CA" w:rsidRPr="00F03B61" w:rsidRDefault="00C772CA" w:rsidP="00F03B61">
      <w:pPr>
        <w:jc w:val="both"/>
        <w:rPr>
          <w:rFonts w:ascii="Arial" w:hAnsi="Arial" w:cs="Arial"/>
          <w:sz w:val="20"/>
          <w:szCs w:val="20"/>
        </w:rPr>
      </w:pPr>
    </w:p>
    <w:p w:rsidR="00C772CA" w:rsidRPr="00F03B61" w:rsidRDefault="00C772CA" w:rsidP="00B324E3">
      <w:pPr>
        <w:numPr>
          <w:ilvl w:val="0"/>
          <w:numId w:val="1"/>
        </w:numPr>
        <w:jc w:val="both"/>
        <w:rPr>
          <w:rFonts w:ascii="Arial" w:hAnsi="Arial" w:cs="Arial"/>
          <w:sz w:val="20"/>
          <w:szCs w:val="20"/>
        </w:rPr>
      </w:pPr>
      <w:r w:rsidRPr="00F03B61">
        <w:rPr>
          <w:rFonts w:ascii="Arial" w:hAnsi="Arial" w:cs="Arial"/>
          <w:sz w:val="20"/>
          <w:szCs w:val="20"/>
        </w:rPr>
        <w:t>Program EU za zaposlovanje in socialne inovacije:</w:t>
      </w:r>
    </w:p>
    <w:p w:rsidR="00C772CA" w:rsidRPr="00F03B61" w:rsidRDefault="006D04A7" w:rsidP="00B324E3">
      <w:pPr>
        <w:numPr>
          <w:ilvl w:val="0"/>
          <w:numId w:val="1"/>
        </w:numPr>
        <w:jc w:val="both"/>
        <w:rPr>
          <w:rFonts w:ascii="Arial" w:hAnsi="Arial" w:cs="Arial"/>
          <w:sz w:val="20"/>
          <w:szCs w:val="20"/>
        </w:rPr>
      </w:pPr>
      <w:hyperlink r:id="rId9" w:history="1">
        <w:r w:rsidR="00C772CA" w:rsidRPr="00F03B61">
          <w:rPr>
            <w:rStyle w:val="Hyperlink"/>
            <w:rFonts w:ascii="Arial" w:hAnsi="Arial" w:cs="Arial"/>
            <w:sz w:val="20"/>
            <w:szCs w:val="20"/>
          </w:rPr>
          <w:t>http://ec.europa.eu/social/main.jsp?catId=1081&amp;langId=sl</w:t>
        </w:r>
      </w:hyperlink>
    </w:p>
    <w:p w:rsidR="00C772CA" w:rsidRPr="00F03B61" w:rsidRDefault="00C772CA" w:rsidP="00F03B61">
      <w:pPr>
        <w:jc w:val="both"/>
        <w:rPr>
          <w:rFonts w:ascii="Arial" w:hAnsi="Arial" w:cs="Arial"/>
          <w:sz w:val="20"/>
          <w:szCs w:val="20"/>
        </w:rPr>
      </w:pPr>
    </w:p>
    <w:p w:rsidR="00C772CA" w:rsidRPr="00F03B61" w:rsidRDefault="00C772CA" w:rsidP="00F03B61">
      <w:pPr>
        <w:jc w:val="both"/>
        <w:rPr>
          <w:rFonts w:ascii="Arial" w:hAnsi="Arial" w:cs="Arial"/>
          <w:sz w:val="20"/>
          <w:szCs w:val="20"/>
        </w:rPr>
      </w:pPr>
      <w:r w:rsidRPr="00F03B61">
        <w:rPr>
          <w:rFonts w:ascii="Arial" w:hAnsi="Arial" w:cs="Arial"/>
          <w:sz w:val="20"/>
          <w:szCs w:val="20"/>
        </w:rPr>
        <w:t>Pripravila:</w:t>
      </w:r>
    </w:p>
    <w:p w:rsidR="00C772CA" w:rsidRPr="00F03B61" w:rsidRDefault="00C772CA" w:rsidP="00F03B61">
      <w:pPr>
        <w:jc w:val="both"/>
        <w:rPr>
          <w:rFonts w:ascii="Arial" w:hAnsi="Arial" w:cs="Arial"/>
          <w:sz w:val="20"/>
          <w:szCs w:val="20"/>
        </w:rPr>
      </w:pPr>
      <w:r w:rsidRPr="00F03B61">
        <w:rPr>
          <w:rFonts w:ascii="Arial" w:hAnsi="Arial" w:cs="Arial"/>
          <w:sz w:val="20"/>
          <w:szCs w:val="20"/>
        </w:rPr>
        <w:t>Darja Kocbek</w:t>
      </w:r>
    </w:p>
    <w:p w:rsidR="00C772CA" w:rsidRDefault="00C772CA" w:rsidP="003F2EAB"/>
    <w:p w:rsidR="00C772CA" w:rsidRPr="00C772CA" w:rsidRDefault="00C772CA" w:rsidP="003F2EAB"/>
    <w:p w:rsidR="00587C67" w:rsidRPr="003F2EAB" w:rsidRDefault="00587C67" w:rsidP="003F2EAB"/>
    <w:sectPr w:rsidR="00587C67" w:rsidRPr="003F2EAB" w:rsidSect="00CD2235">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A4D21"/>
    <w:multiLevelType w:val="hybridMultilevel"/>
    <w:tmpl w:val="4768BF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3F2EAB"/>
    <w:rsid w:val="003F2EAB"/>
    <w:rsid w:val="00587C67"/>
    <w:rsid w:val="006A1415"/>
    <w:rsid w:val="006D04A7"/>
    <w:rsid w:val="00870A0E"/>
    <w:rsid w:val="009F417C"/>
    <w:rsid w:val="00A4623D"/>
    <w:rsid w:val="00B324E3"/>
    <w:rsid w:val="00C772CA"/>
    <w:rsid w:val="00CD2235"/>
    <w:rsid w:val="00D62535"/>
    <w:rsid w:val="00DD3747"/>
    <w:rsid w:val="00DE745A"/>
    <w:rsid w:val="00F03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4A7"/>
    <w:rPr>
      <w:sz w:val="24"/>
      <w:szCs w:val="24"/>
      <w:lang w:val="sl-SI" w:eastAsia="sl-SI"/>
    </w:rPr>
  </w:style>
  <w:style w:type="paragraph" w:styleId="Heading2">
    <w:name w:val="heading 2"/>
    <w:basedOn w:val="Normal"/>
    <w:next w:val="Normal"/>
    <w:qFormat/>
    <w:rsid w:val="00870A0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tandard3520normal">
    <w:name w:val="a_standard__35__20_normal"/>
    <w:basedOn w:val="Normal"/>
    <w:rsid w:val="003F2EAB"/>
    <w:pPr>
      <w:spacing w:before="100" w:beforeAutospacing="1" w:after="100" w:afterAutospacing="1"/>
    </w:pPr>
  </w:style>
  <w:style w:type="character" w:customStyle="1" w:styleId="at1">
    <w:name w:val="a__t1"/>
    <w:basedOn w:val="DefaultParagraphFont"/>
    <w:rsid w:val="003F2EAB"/>
  </w:style>
  <w:style w:type="character" w:styleId="Hyperlink">
    <w:name w:val="Hyperlink"/>
    <w:basedOn w:val="DefaultParagraphFont"/>
    <w:rsid w:val="003F2EAB"/>
    <w:rPr>
      <w:color w:val="0000FF"/>
      <w:u w:val="single"/>
    </w:rPr>
  </w:style>
  <w:style w:type="character" w:customStyle="1" w:styleId="at2">
    <w:name w:val="a__t2"/>
    <w:basedOn w:val="DefaultParagraphFont"/>
    <w:rsid w:val="003F2EAB"/>
  </w:style>
  <w:style w:type="paragraph" w:customStyle="1" w:styleId="a3520normaltiret201">
    <w:name w:val="a__35__20_normal_tiret_20_1"/>
    <w:basedOn w:val="Normal"/>
    <w:rsid w:val="003F2EAB"/>
    <w:pPr>
      <w:spacing w:before="100" w:beforeAutospacing="1" w:after="100" w:afterAutospacing="1"/>
    </w:pPr>
  </w:style>
  <w:style w:type="paragraph" w:styleId="BalloonText">
    <w:name w:val="Balloon Text"/>
    <w:basedOn w:val="Normal"/>
    <w:link w:val="BalloonTextChar"/>
    <w:rsid w:val="00D62535"/>
    <w:rPr>
      <w:rFonts w:ascii="Tahoma" w:hAnsi="Tahoma" w:cs="Tahoma"/>
      <w:sz w:val="16"/>
      <w:szCs w:val="16"/>
    </w:rPr>
  </w:style>
  <w:style w:type="character" w:customStyle="1" w:styleId="BalloonTextChar">
    <w:name w:val="Balloon Text Char"/>
    <w:basedOn w:val="DefaultParagraphFont"/>
    <w:link w:val="BalloonText"/>
    <w:rsid w:val="00D62535"/>
    <w:rPr>
      <w:rFonts w:ascii="Tahoma" w:hAnsi="Tahoma" w:cs="Tahoma"/>
      <w:sz w:val="16"/>
      <w:szCs w:val="16"/>
      <w:lang w:val="sl-SI" w:eastAsia="sl-SI"/>
    </w:rPr>
  </w:style>
</w:styles>
</file>

<file path=word/webSettings.xml><?xml version="1.0" encoding="utf-8"?>
<w:webSettings xmlns:r="http://schemas.openxmlformats.org/officeDocument/2006/relationships" xmlns:w="http://schemas.openxmlformats.org/wordprocessingml/2006/main">
  <w:divs>
    <w:div w:id="1881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sf/home.jsp?langId=sl" TargetMode="External"/><Relationship Id="rId3" Type="http://schemas.openxmlformats.org/officeDocument/2006/relationships/settings" Target="settings.xml"/><Relationship Id="rId7" Type="http://schemas.openxmlformats.org/officeDocument/2006/relationships/hyperlink" Target="http://www.oira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social/main.jsp?langId=sl&amp;catId=89&amp;newsId=2053&amp;furtherNews=y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social/main.jsp?catId=1081&amp;langId=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Za boljšo zaščito več kot 217 milijonov delavcev v EU pred z delom povezanimi nesrečami in boleznimi je Evropska komisija predstavila nov strateški okvir za zdravje in varnost pri delu za obdobje 2014–2020</vt:lpstr>
    </vt:vector>
  </TitlesOfParts>
  <Company>_____</Company>
  <LinksUpToDate>false</LinksUpToDate>
  <CharactersWithSpaces>4273</CharactersWithSpaces>
  <SharedDoc>false</SharedDoc>
  <HLinks>
    <vt:vector size="24" baseType="variant">
      <vt:variant>
        <vt:i4>5439568</vt:i4>
      </vt:variant>
      <vt:variant>
        <vt:i4>9</vt:i4>
      </vt:variant>
      <vt:variant>
        <vt:i4>0</vt:i4>
      </vt:variant>
      <vt:variant>
        <vt:i4>5</vt:i4>
      </vt:variant>
      <vt:variant>
        <vt:lpwstr>http://ec.europa.eu/social/main.jsp?catId=1081&amp;langId=sl</vt:lpwstr>
      </vt:variant>
      <vt:variant>
        <vt:lpwstr/>
      </vt:variant>
      <vt:variant>
        <vt:i4>2555939</vt:i4>
      </vt:variant>
      <vt:variant>
        <vt:i4>6</vt:i4>
      </vt:variant>
      <vt:variant>
        <vt:i4>0</vt:i4>
      </vt:variant>
      <vt:variant>
        <vt:i4>5</vt:i4>
      </vt:variant>
      <vt:variant>
        <vt:lpwstr>http://ec.europa.eu/esf/home.jsp?langId=sl</vt:lpwstr>
      </vt:variant>
      <vt:variant>
        <vt:lpwstr/>
      </vt:variant>
      <vt:variant>
        <vt:i4>7471224</vt:i4>
      </vt:variant>
      <vt:variant>
        <vt:i4>3</vt:i4>
      </vt:variant>
      <vt:variant>
        <vt:i4>0</vt:i4>
      </vt:variant>
      <vt:variant>
        <vt:i4>5</vt:i4>
      </vt:variant>
      <vt:variant>
        <vt:lpwstr>http://www.oiraproject.eu/</vt:lpwstr>
      </vt:variant>
      <vt:variant>
        <vt:lpwstr/>
      </vt:variant>
      <vt:variant>
        <vt:i4>3801148</vt:i4>
      </vt:variant>
      <vt:variant>
        <vt:i4>0</vt:i4>
      </vt:variant>
      <vt:variant>
        <vt:i4>0</vt:i4>
      </vt:variant>
      <vt:variant>
        <vt:i4>5</vt:i4>
      </vt:variant>
      <vt:variant>
        <vt:lpwstr>http://ec.europa.eu/social/main.jsp?langId=sl&amp;catId=89&amp;newsId=2053&amp;furtherNews=yes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 boljšo zaščito več kot 217 milijonov delavcev v EU pred z delom povezanimi nesrečami in boleznimi je Evropska komisija predstavila nov strateški okvir za zdravje in varnost pri delu za obdobje 2014–2020</dc:title>
  <dc:subject/>
  <dc:creator>Darja</dc:creator>
  <cp:keywords/>
  <dc:description/>
  <cp:lastModifiedBy> </cp:lastModifiedBy>
  <cp:revision>3</cp:revision>
  <dcterms:created xsi:type="dcterms:W3CDTF">2014-06-13T09:31:00Z</dcterms:created>
  <dcterms:modified xsi:type="dcterms:W3CDTF">2014-06-13T09:34:00Z</dcterms:modified>
</cp:coreProperties>
</file>