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70" w:rsidRPr="0054445F" w:rsidRDefault="00D07770" w:rsidP="00D07770">
      <w:pPr>
        <w:tabs>
          <w:tab w:val="left" w:pos="2520"/>
          <w:tab w:val="left" w:pos="2700"/>
        </w:tabs>
        <w:jc w:val="center"/>
      </w:pPr>
      <w:r w:rsidRPr="0054445F">
        <w:rPr>
          <w:noProof/>
          <w:lang w:val="en-US"/>
        </w:rPr>
        <w:drawing>
          <wp:inline distT="0" distB="0" distL="0" distR="0" wp14:anchorId="37F36B1C" wp14:editId="1060DA74">
            <wp:extent cx="2000250" cy="1028700"/>
            <wp:effectExtent l="0" t="0" r="0" b="0"/>
            <wp:docPr id="1" name="Picture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70" w:rsidRPr="0054445F" w:rsidRDefault="00D07770" w:rsidP="00D07770">
      <w:pPr>
        <w:pStyle w:val="Heading2"/>
        <w:jc w:val="center"/>
        <w:rPr>
          <w:b w:val="0"/>
          <w:bCs w:val="0"/>
          <w:i w:val="0"/>
          <w:iCs w:val="0"/>
          <w:sz w:val="22"/>
        </w:rPr>
      </w:pPr>
      <w:r w:rsidRPr="0054445F"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D07770" w:rsidRPr="0054445F" w:rsidRDefault="00D07770" w:rsidP="00D07770">
      <w:pPr>
        <w:pBdr>
          <w:bottom w:val="single" w:sz="6" w:space="1" w:color="auto"/>
        </w:pBdr>
        <w:jc w:val="center"/>
      </w:pPr>
    </w:p>
    <w:p w:rsidR="00D07770" w:rsidRPr="0054445F" w:rsidRDefault="00D07770" w:rsidP="00D07770">
      <w:pPr>
        <w:spacing w:after="0" w:line="240" w:lineRule="auto"/>
        <w:jc w:val="center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>Občasna informacija članom 7-2013</w:t>
      </w:r>
    </w:p>
    <w:p w:rsidR="00D07770" w:rsidRPr="0054445F" w:rsidRDefault="00D07770" w:rsidP="00D07770">
      <w:pPr>
        <w:spacing w:after="0" w:line="240" w:lineRule="auto"/>
        <w:jc w:val="center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>25. januar 2013</w:t>
      </w:r>
    </w:p>
    <w:p w:rsidR="00D07770" w:rsidRPr="0054445F" w:rsidRDefault="00D07770" w:rsidP="00D07770">
      <w:pPr>
        <w:spacing w:after="0" w:line="240" w:lineRule="auto"/>
        <w:jc w:val="center"/>
        <w:rPr>
          <w:rFonts w:ascii="Arial" w:hAnsi="Arial" w:cs="Arial"/>
          <w:b/>
          <w:color w:val="993300"/>
          <w:sz w:val="20"/>
          <w:szCs w:val="20"/>
        </w:rPr>
      </w:pPr>
    </w:p>
    <w:p w:rsidR="00D07770" w:rsidRPr="0054445F" w:rsidRDefault="00D07770" w:rsidP="00D07770">
      <w:pPr>
        <w:spacing w:after="0" w:line="240" w:lineRule="auto"/>
        <w:jc w:val="center"/>
        <w:rPr>
          <w:rFonts w:ascii="Arial" w:hAnsi="Arial" w:cs="Arial"/>
          <w:b/>
          <w:color w:val="993300"/>
          <w:sz w:val="20"/>
          <w:szCs w:val="20"/>
        </w:rPr>
      </w:pPr>
    </w:p>
    <w:p w:rsidR="00A54DBD" w:rsidRDefault="00D07770" w:rsidP="00D07770">
      <w:pPr>
        <w:spacing w:after="0" w:line="240" w:lineRule="auto"/>
        <w:jc w:val="center"/>
        <w:rPr>
          <w:rFonts w:ascii="Arial" w:hAnsi="Arial" w:cs="Arial"/>
          <w:b/>
          <w:color w:val="993300"/>
          <w:sz w:val="32"/>
          <w:szCs w:val="32"/>
        </w:rPr>
      </w:pPr>
      <w:r w:rsidRPr="0054445F">
        <w:rPr>
          <w:rFonts w:ascii="Arial" w:hAnsi="Arial" w:cs="Arial"/>
          <w:b/>
          <w:color w:val="993300"/>
          <w:sz w:val="32"/>
          <w:szCs w:val="32"/>
        </w:rPr>
        <w:t>V pripravi nova Strategija razvoja Slovenije</w:t>
      </w:r>
    </w:p>
    <w:p w:rsidR="00D07770" w:rsidRPr="0054445F" w:rsidRDefault="00D07770" w:rsidP="00D07770">
      <w:pPr>
        <w:spacing w:after="0" w:line="240" w:lineRule="auto"/>
        <w:jc w:val="center"/>
        <w:rPr>
          <w:rFonts w:ascii="Arial" w:hAnsi="Arial" w:cs="Arial"/>
          <w:b/>
          <w:color w:val="993300"/>
          <w:sz w:val="32"/>
          <w:szCs w:val="32"/>
        </w:rPr>
      </w:pPr>
      <w:r w:rsidRPr="0054445F">
        <w:rPr>
          <w:rFonts w:ascii="Arial" w:hAnsi="Arial" w:cs="Arial"/>
          <w:b/>
          <w:color w:val="993300"/>
          <w:sz w:val="32"/>
          <w:szCs w:val="32"/>
        </w:rPr>
        <w:t xml:space="preserve"> za obdobje 2014–2020</w:t>
      </w:r>
    </w:p>
    <w:p w:rsidR="00D07770" w:rsidRPr="0054445F" w:rsidRDefault="00D07770" w:rsidP="00D077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7770" w:rsidRPr="0054445F" w:rsidRDefault="00D07770" w:rsidP="00D077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7770" w:rsidRDefault="00226C2F" w:rsidP="00D07770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Ob upoštevanju</w:t>
      </w:r>
      <w:r w:rsidR="00D07770" w:rsidRPr="00226C2F">
        <w:rPr>
          <w:rFonts w:ascii="Arial" w:hAnsi="Arial" w:cs="Arial"/>
          <w:b/>
          <w:i/>
        </w:rPr>
        <w:t xml:space="preserve"> </w:t>
      </w:r>
      <w:r w:rsidR="00D07770" w:rsidRPr="0054445F">
        <w:rPr>
          <w:rFonts w:ascii="Arial" w:hAnsi="Arial" w:cs="Arial"/>
          <w:b/>
          <w:i/>
        </w:rPr>
        <w:t>stališča Evropske komisije o razvoju partnerskega sporazuma in programov</w:t>
      </w:r>
      <w:r w:rsidR="00D07770" w:rsidRPr="0054445F">
        <w:rPr>
          <w:rFonts w:ascii="Arial" w:hAnsi="Arial" w:cs="Arial"/>
          <w:b/>
        </w:rPr>
        <w:t xml:space="preserve"> </w:t>
      </w:r>
      <w:r w:rsidR="00D07770" w:rsidRPr="0054445F">
        <w:rPr>
          <w:rFonts w:ascii="Arial" w:hAnsi="Arial" w:cs="Arial"/>
          <w:b/>
          <w:i/>
        </w:rPr>
        <w:t xml:space="preserve">v Sloveniji za obdobje 2014–2020, </w:t>
      </w:r>
      <w:r w:rsidRPr="0054445F">
        <w:rPr>
          <w:rFonts w:ascii="Arial" w:hAnsi="Arial" w:cs="Arial"/>
          <w:b/>
          <w:i/>
        </w:rPr>
        <w:t xml:space="preserve">strategije Evropa 2020, </w:t>
      </w:r>
      <w:r>
        <w:rPr>
          <w:rFonts w:ascii="Arial" w:hAnsi="Arial" w:cs="Arial"/>
          <w:b/>
          <w:i/>
        </w:rPr>
        <w:t xml:space="preserve">slovenskih </w:t>
      </w:r>
      <w:r w:rsidR="00D07770" w:rsidRPr="0054445F">
        <w:rPr>
          <w:rFonts w:ascii="Arial" w:hAnsi="Arial" w:cs="Arial"/>
          <w:b/>
          <w:i/>
        </w:rPr>
        <w:t xml:space="preserve">nacionalnih ciljev, statističnih analiz in javne razprave je Ministrstvo za gospodarski razvoj in tehnologijo opredelilo 5 prioritet Strategije razvoja Slovenije za obdobje 2014–2020. Te so: znanje, podjetnost, aktivno in kakovostno življenje, zeleno (skrb za okolje) ter učinkovita država. Področja se </w:t>
      </w:r>
      <w:r w:rsidR="00D07770" w:rsidRPr="00E90575">
        <w:rPr>
          <w:rFonts w:ascii="Arial" w:hAnsi="Arial" w:cs="Arial"/>
          <w:b/>
          <w:i/>
        </w:rPr>
        <w:t xml:space="preserve">medsebojno prekrivajo, </w:t>
      </w:r>
      <w:r w:rsidRPr="00E90575">
        <w:rPr>
          <w:rFonts w:ascii="Arial" w:hAnsi="Arial" w:cs="Arial"/>
          <w:b/>
          <w:i/>
        </w:rPr>
        <w:t xml:space="preserve">osrednji </w:t>
      </w:r>
      <w:r w:rsidR="00D07770" w:rsidRPr="00E90575">
        <w:rPr>
          <w:rFonts w:ascii="Arial" w:hAnsi="Arial" w:cs="Arial"/>
          <w:b/>
          <w:i/>
        </w:rPr>
        <w:t xml:space="preserve">cilj </w:t>
      </w:r>
      <w:r w:rsidRPr="00E90575">
        <w:rPr>
          <w:rFonts w:ascii="Arial" w:hAnsi="Arial" w:cs="Arial"/>
          <w:b/>
          <w:i/>
        </w:rPr>
        <w:t xml:space="preserve">strategije pa </w:t>
      </w:r>
      <w:r w:rsidR="00FC70F9">
        <w:rPr>
          <w:rFonts w:ascii="Arial" w:hAnsi="Arial" w:cs="Arial"/>
          <w:b/>
          <w:i/>
        </w:rPr>
        <w:t>bo</w:t>
      </w:r>
      <w:r w:rsidRPr="00E90575">
        <w:rPr>
          <w:rFonts w:ascii="Arial" w:hAnsi="Arial" w:cs="Arial"/>
          <w:b/>
          <w:i/>
        </w:rPr>
        <w:t xml:space="preserve"> </w:t>
      </w:r>
      <w:r w:rsidR="00E90575" w:rsidRPr="00E90575">
        <w:rPr>
          <w:rFonts w:ascii="Arial" w:hAnsi="Arial" w:cs="Arial"/>
          <w:b/>
          <w:i/>
        </w:rPr>
        <w:t>celovit razvoj in doseganje blaginje</w:t>
      </w:r>
      <w:r w:rsidRPr="00E90575">
        <w:rPr>
          <w:rFonts w:ascii="Arial" w:hAnsi="Arial" w:cs="Arial"/>
          <w:b/>
          <w:i/>
        </w:rPr>
        <w:t xml:space="preserve"> prek </w:t>
      </w:r>
      <w:r w:rsidR="00D07770" w:rsidRPr="00E90575">
        <w:rPr>
          <w:rFonts w:ascii="Arial" w:hAnsi="Arial" w:cs="Arial"/>
          <w:b/>
          <w:i/>
        </w:rPr>
        <w:t>ustvarjanj</w:t>
      </w:r>
      <w:r w:rsidR="00FC70F9">
        <w:rPr>
          <w:rFonts w:ascii="Arial" w:hAnsi="Arial" w:cs="Arial"/>
          <w:b/>
          <w:i/>
        </w:rPr>
        <w:t>a</w:t>
      </w:r>
      <w:r w:rsidR="00D07770" w:rsidRPr="00E90575">
        <w:rPr>
          <w:rFonts w:ascii="Arial" w:hAnsi="Arial" w:cs="Arial"/>
          <w:b/>
          <w:i/>
        </w:rPr>
        <w:t xml:space="preserve"> sinergij med </w:t>
      </w:r>
      <w:r w:rsidRPr="00E90575">
        <w:rPr>
          <w:rFonts w:ascii="Arial" w:hAnsi="Arial" w:cs="Arial"/>
          <w:b/>
          <w:i/>
        </w:rPr>
        <w:t>različnimi področji in akterji</w:t>
      </w:r>
      <w:r w:rsidR="00D07770" w:rsidRPr="00E90575">
        <w:rPr>
          <w:rFonts w:ascii="Arial" w:hAnsi="Arial" w:cs="Arial"/>
          <w:b/>
          <w:i/>
        </w:rPr>
        <w:t>.</w:t>
      </w:r>
      <w:r w:rsidR="00D07770" w:rsidRPr="00E90575">
        <w:rPr>
          <w:rFonts w:cs="Arial"/>
          <w:i/>
          <w:szCs w:val="20"/>
        </w:rPr>
        <w:t xml:space="preserve"> </w:t>
      </w:r>
      <w:r w:rsidR="00D07770" w:rsidRPr="00E90575">
        <w:rPr>
          <w:rFonts w:ascii="Arial" w:hAnsi="Arial" w:cs="Arial"/>
          <w:b/>
          <w:i/>
        </w:rPr>
        <w:t xml:space="preserve">Opredeljeni so tudi kvantitativni kriteriji za ocenjevanje učinkovitosti ukrepov in uspešnosti doseganja </w:t>
      </w:r>
      <w:r w:rsidR="00D07770" w:rsidRPr="000D11BF">
        <w:rPr>
          <w:rFonts w:ascii="Arial" w:hAnsi="Arial" w:cs="Arial"/>
          <w:b/>
          <w:i/>
        </w:rPr>
        <w:t xml:space="preserve">ciljev. Dokument Strategija razvoja Slovenije 2014–2020 </w:t>
      </w:r>
      <w:r w:rsidR="000D11BF" w:rsidRPr="000D11BF">
        <w:rPr>
          <w:rFonts w:ascii="Arial" w:hAnsi="Arial" w:cs="Arial"/>
          <w:b/>
          <w:i/>
        </w:rPr>
        <w:t>bo predvidoma sprejet februarja</w:t>
      </w:r>
      <w:r w:rsidR="00D07770" w:rsidRPr="000D11BF">
        <w:rPr>
          <w:rFonts w:ascii="Arial" w:hAnsi="Arial" w:cs="Arial"/>
          <w:b/>
          <w:i/>
        </w:rPr>
        <w:t xml:space="preserve"> 2013.</w:t>
      </w:r>
    </w:p>
    <w:p w:rsidR="00A54DBD" w:rsidRDefault="00A54DBD" w:rsidP="00D07770">
      <w:pPr>
        <w:spacing w:after="0" w:line="24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BC16A4" w:rsidRDefault="00BC16A4" w:rsidP="00D07770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9D08B5" w:rsidRPr="0054445F" w:rsidRDefault="009D08B5" w:rsidP="00D07770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54445F" w:rsidRDefault="0054445F" w:rsidP="0054445F">
      <w:pPr>
        <w:spacing w:after="0" w:line="240" w:lineRule="auto"/>
        <w:jc w:val="both"/>
        <w:rPr>
          <w:rFonts w:ascii="Arial" w:hAnsi="Arial" w:cs="Arial"/>
        </w:rPr>
      </w:pPr>
      <w:r w:rsidRPr="00FC70F9">
        <w:rPr>
          <w:rFonts w:ascii="Arial" w:hAnsi="Arial" w:cs="Arial"/>
        </w:rPr>
        <w:t xml:space="preserve">V dokumentu o stališču Evropske komisije o razvoju partnerskega sporazuma in programov v Sloveniji za obdobje 2014–2020 je pojasnjeno, da je kriza močno prizadela slovensko gospodarstvo in omejila gospodarske izglede države. </w:t>
      </w:r>
      <w:r w:rsidRPr="00FC70F9">
        <w:rPr>
          <w:rFonts w:ascii="Arial" w:hAnsi="Arial" w:cs="Arial"/>
          <w:b/>
        </w:rPr>
        <w:t xml:space="preserve">Brezposelnost </w:t>
      </w:r>
      <w:r w:rsidRPr="00FC70F9">
        <w:rPr>
          <w:rFonts w:ascii="Arial" w:hAnsi="Arial" w:cs="Arial"/>
        </w:rPr>
        <w:t xml:space="preserve">naj bi po 8,4-odstotni v letu 2012 dosegla svoj vrh pri 9,4 % leta 2013. Poleg tega v Sloveniji </w:t>
      </w:r>
      <w:r w:rsidR="00FC70F9">
        <w:rPr>
          <w:rFonts w:ascii="Arial" w:hAnsi="Arial" w:cs="Arial"/>
        </w:rPr>
        <w:t>še vedno obstajajo</w:t>
      </w:r>
      <w:r w:rsidRPr="0054445F">
        <w:rPr>
          <w:rFonts w:ascii="Arial" w:hAnsi="Arial" w:cs="Arial"/>
        </w:rPr>
        <w:t xml:space="preserve"> </w:t>
      </w:r>
      <w:r w:rsidR="00FC70F9">
        <w:rPr>
          <w:rFonts w:ascii="Arial" w:hAnsi="Arial" w:cs="Arial"/>
        </w:rPr>
        <w:t>znatne</w:t>
      </w:r>
      <w:r w:rsidRPr="0054445F">
        <w:rPr>
          <w:rFonts w:ascii="Arial" w:hAnsi="Arial" w:cs="Arial"/>
        </w:rPr>
        <w:t xml:space="preserve"> </w:t>
      </w:r>
      <w:r w:rsidRPr="00FC70F9">
        <w:rPr>
          <w:rFonts w:ascii="Arial" w:hAnsi="Arial" w:cs="Arial"/>
          <w:b/>
        </w:rPr>
        <w:t>razlike</w:t>
      </w:r>
      <w:r w:rsidR="00FC70F9">
        <w:rPr>
          <w:rFonts w:ascii="Arial" w:hAnsi="Arial" w:cs="Arial"/>
          <w:b/>
        </w:rPr>
        <w:t xml:space="preserve"> med</w:t>
      </w:r>
      <w:r w:rsidR="00FC70F9" w:rsidRPr="00FC70F9">
        <w:rPr>
          <w:rFonts w:ascii="Arial" w:hAnsi="Arial" w:cs="Arial"/>
          <w:b/>
        </w:rPr>
        <w:t xml:space="preserve"> regi</w:t>
      </w:r>
      <w:r w:rsidR="00FC70F9">
        <w:rPr>
          <w:rFonts w:ascii="Arial" w:hAnsi="Arial" w:cs="Arial"/>
          <w:b/>
        </w:rPr>
        <w:t>jami</w:t>
      </w:r>
      <w:r w:rsidRPr="0054445F">
        <w:rPr>
          <w:rFonts w:ascii="Arial" w:hAnsi="Arial" w:cs="Arial"/>
        </w:rPr>
        <w:t xml:space="preserve">: medtem ko BDP na </w:t>
      </w:r>
      <w:r w:rsidR="00FC70F9">
        <w:rPr>
          <w:rFonts w:ascii="Arial" w:hAnsi="Arial" w:cs="Arial"/>
        </w:rPr>
        <w:t>prebivalca</w:t>
      </w:r>
      <w:r w:rsidR="00FC70F9" w:rsidRPr="00FC70F9">
        <w:rPr>
          <w:rFonts w:ascii="Arial" w:hAnsi="Arial" w:cs="Arial"/>
        </w:rPr>
        <w:t xml:space="preserve"> </w:t>
      </w:r>
      <w:r w:rsidR="00FC70F9" w:rsidRPr="0054445F">
        <w:rPr>
          <w:rFonts w:ascii="Arial" w:hAnsi="Arial" w:cs="Arial"/>
        </w:rPr>
        <w:t>v Osrednjeslovenski regiji</w:t>
      </w:r>
      <w:r w:rsidRPr="0054445F">
        <w:rPr>
          <w:rFonts w:ascii="Arial" w:hAnsi="Arial" w:cs="Arial"/>
        </w:rPr>
        <w:t xml:space="preserve"> znaša skoraj 129 % EU povprečja, ta v Zasavski regiji znaša zgolj 59,3 % EU povprečja.</w:t>
      </w:r>
    </w:p>
    <w:p w:rsidR="00FC70F9" w:rsidRDefault="00FC70F9" w:rsidP="0054445F">
      <w:pPr>
        <w:spacing w:after="0" w:line="240" w:lineRule="auto"/>
        <w:jc w:val="both"/>
        <w:rPr>
          <w:rFonts w:ascii="Arial" w:hAnsi="Arial" w:cs="Arial"/>
        </w:rPr>
      </w:pPr>
    </w:p>
    <w:p w:rsidR="00FC70F9" w:rsidRPr="0054445F" w:rsidRDefault="00FC70F9" w:rsidP="00FC70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445F">
        <w:rPr>
          <w:rFonts w:ascii="Arial" w:hAnsi="Arial" w:cs="Arial"/>
          <w:b/>
          <w:bCs/>
        </w:rPr>
        <w:t>Evropsk</w:t>
      </w:r>
      <w:r w:rsidR="007361DB">
        <w:rPr>
          <w:rFonts w:ascii="Arial" w:hAnsi="Arial" w:cs="Arial"/>
          <w:b/>
          <w:bCs/>
        </w:rPr>
        <w:t xml:space="preserve">a komisija kot osnovne dejavnike uspešnega razvoja v </w:t>
      </w:r>
      <w:r>
        <w:rPr>
          <w:rFonts w:ascii="Arial" w:hAnsi="Arial" w:cs="Arial"/>
          <w:b/>
          <w:bCs/>
        </w:rPr>
        <w:t>Slovenij</w:t>
      </w:r>
      <w:r w:rsidR="007361D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Pr="0054445F">
        <w:rPr>
          <w:rFonts w:ascii="Arial" w:hAnsi="Arial" w:cs="Arial"/>
          <w:b/>
          <w:bCs/>
        </w:rPr>
        <w:t>opredeljuje: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54445F">
        <w:rPr>
          <w:rFonts w:ascii="Arial" w:hAnsi="Arial" w:cs="Arial"/>
          <w:bCs/>
        </w:rPr>
        <w:t>trategijo inovacij in raziskovanja za pametno specializacijo</w:t>
      </w:r>
      <w:r>
        <w:rPr>
          <w:rFonts w:ascii="Arial" w:hAnsi="Arial" w:cs="Arial"/>
          <w:bCs/>
        </w:rPr>
        <w:t>,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54445F">
        <w:rPr>
          <w:rFonts w:ascii="Arial" w:hAnsi="Arial" w:cs="Arial"/>
          <w:bCs/>
        </w:rPr>
        <w:t>elovit transportni načrt, ki vključuje razvoj železnic</w:t>
      </w:r>
      <w:r>
        <w:rPr>
          <w:rFonts w:ascii="Arial" w:hAnsi="Arial" w:cs="Arial"/>
          <w:bCs/>
        </w:rPr>
        <w:t>,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54445F">
        <w:rPr>
          <w:rFonts w:ascii="Arial" w:hAnsi="Arial" w:cs="Arial"/>
          <w:bCs/>
        </w:rPr>
        <w:t>acionaln</w:t>
      </w:r>
      <w:r w:rsidR="007361DB">
        <w:rPr>
          <w:rFonts w:ascii="Arial" w:hAnsi="Arial" w:cs="Arial"/>
          <w:bCs/>
        </w:rPr>
        <w:t>o</w:t>
      </w:r>
      <w:r w:rsidRPr="0054445F">
        <w:rPr>
          <w:rFonts w:ascii="Arial" w:hAnsi="Arial" w:cs="Arial"/>
          <w:bCs/>
        </w:rPr>
        <w:t xml:space="preserve"> strategij</w:t>
      </w:r>
      <w:r w:rsidR="007361DB">
        <w:rPr>
          <w:rFonts w:ascii="Arial" w:hAnsi="Arial" w:cs="Arial"/>
          <w:bCs/>
        </w:rPr>
        <w:t>o</w:t>
      </w:r>
      <w:r w:rsidRPr="0054445F">
        <w:rPr>
          <w:rFonts w:ascii="Arial" w:hAnsi="Arial" w:cs="Arial"/>
          <w:bCs/>
        </w:rPr>
        <w:t xml:space="preserve"> za politike aktivnega staranja in boj proti revščini</w:t>
      </w:r>
      <w:r>
        <w:rPr>
          <w:rFonts w:ascii="Arial" w:hAnsi="Arial" w:cs="Arial"/>
          <w:bCs/>
        </w:rPr>
        <w:t>,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54445F">
        <w:rPr>
          <w:rFonts w:ascii="Arial" w:hAnsi="Arial" w:cs="Arial"/>
          <w:bCs/>
        </w:rPr>
        <w:t xml:space="preserve">trategijo za utrjevanje administrativne učinkovitosti, vključno z reformo javne </w:t>
      </w:r>
      <w:r w:rsidR="007361DB">
        <w:rPr>
          <w:rFonts w:ascii="Arial" w:hAnsi="Arial" w:cs="Arial"/>
          <w:bCs/>
        </w:rPr>
        <w:t>uprave</w:t>
      </w:r>
      <w:r>
        <w:rPr>
          <w:rFonts w:ascii="Arial" w:hAnsi="Arial" w:cs="Arial"/>
          <w:bCs/>
        </w:rPr>
        <w:t>,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54445F">
        <w:rPr>
          <w:rFonts w:ascii="Arial" w:hAnsi="Arial" w:cs="Arial"/>
          <w:bCs/>
        </w:rPr>
        <w:t xml:space="preserve">spešno implementacijo </w:t>
      </w:r>
      <w:r w:rsidRPr="0054445F">
        <w:rPr>
          <w:rFonts w:ascii="Arial" w:hAnsi="Arial" w:cs="Arial"/>
        </w:rPr>
        <w:t xml:space="preserve">EU </w:t>
      </w:r>
      <w:r w:rsidRPr="0054445F">
        <w:rPr>
          <w:rFonts w:ascii="Arial" w:hAnsi="Arial" w:cs="Arial"/>
          <w:i/>
          <w:iCs/>
        </w:rPr>
        <w:t>acquis</w:t>
      </w:r>
      <w:r w:rsidRPr="0054445F">
        <w:rPr>
          <w:rFonts w:ascii="Arial" w:hAnsi="Arial" w:cs="Arial"/>
        </w:rPr>
        <w:t xml:space="preserve"> v sektorjih menedžmenta smeti in vode</w:t>
      </w:r>
      <w:r>
        <w:rPr>
          <w:rFonts w:ascii="Arial" w:hAnsi="Arial" w:cs="Arial"/>
        </w:rPr>
        <w:t>, energetske učinkovitosti in obnovljivih virov,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</w:t>
      </w:r>
      <w:r w:rsidR="007361DB">
        <w:rPr>
          <w:rFonts w:ascii="Arial" w:hAnsi="Arial" w:cs="Arial"/>
        </w:rPr>
        <w:t>dministrativne</w:t>
      </w:r>
      <w:r>
        <w:rPr>
          <w:rFonts w:ascii="Arial" w:hAnsi="Arial" w:cs="Arial"/>
        </w:rPr>
        <w:t xml:space="preserve"> kapacitet</w:t>
      </w:r>
      <w:r w:rsidR="007361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zbirnje podatkov </w:t>
      </w:r>
      <w:r w:rsidR="007361DB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menedžment ribištva in implementacijo sistema nadzora, inšpekcij</w:t>
      </w:r>
      <w:r w:rsidR="007361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 izvrševanja </w:t>
      </w:r>
      <w:r w:rsidR="00FB4195">
        <w:rPr>
          <w:rFonts w:ascii="Arial" w:hAnsi="Arial" w:cs="Arial"/>
        </w:rPr>
        <w:t>ukrepov</w:t>
      </w:r>
      <w:r>
        <w:rPr>
          <w:rFonts w:ascii="Arial" w:hAnsi="Arial" w:cs="Arial"/>
        </w:rPr>
        <w:t xml:space="preserve"> EU,</w:t>
      </w:r>
    </w:p>
    <w:p w:rsidR="00FC70F9" w:rsidRPr="0054445F" w:rsidRDefault="00FC70F9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nacionalni večletni načrt za ribogojstvo in</w:t>
      </w:r>
    </w:p>
    <w:p w:rsidR="00FC70F9" w:rsidRPr="0054445F" w:rsidRDefault="007361DB" w:rsidP="00FC70F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C70F9" w:rsidRPr="0054445F">
        <w:rPr>
          <w:rFonts w:ascii="Arial" w:hAnsi="Arial" w:cs="Arial"/>
        </w:rPr>
        <w:t>zboljšanje priprave/menedžmenta javnih razpisov</w:t>
      </w:r>
      <w:r w:rsidR="00FC70F9">
        <w:rPr>
          <w:rFonts w:ascii="Arial" w:hAnsi="Arial" w:cs="Arial"/>
        </w:rPr>
        <w:t>.</w:t>
      </w:r>
    </w:p>
    <w:p w:rsidR="00FC70F9" w:rsidRPr="0054445F" w:rsidRDefault="00FC70F9" w:rsidP="0054445F">
      <w:pPr>
        <w:spacing w:after="0" w:line="240" w:lineRule="auto"/>
        <w:jc w:val="both"/>
        <w:rPr>
          <w:rFonts w:ascii="Arial" w:hAnsi="Arial" w:cs="Arial"/>
        </w:rPr>
      </w:pPr>
    </w:p>
    <w:p w:rsidR="0054445F" w:rsidRDefault="00FC70F9" w:rsidP="005444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Potrebna je tudi uskladitev nacionalnih ciljev v Sloveniji s krovnimi cilji Evropa 2020 (glej Tabelo 1).</w:t>
      </w:r>
    </w:p>
    <w:p w:rsidR="00FC70F9" w:rsidRDefault="00FC70F9" w:rsidP="0054445F">
      <w:pPr>
        <w:spacing w:after="0" w:line="240" w:lineRule="auto"/>
        <w:jc w:val="both"/>
        <w:rPr>
          <w:rFonts w:ascii="Arial" w:hAnsi="Arial" w:cs="Arial"/>
        </w:rPr>
      </w:pPr>
    </w:p>
    <w:p w:rsidR="00FC70F9" w:rsidRPr="0054445F" w:rsidRDefault="00FC70F9" w:rsidP="0054445F">
      <w:pPr>
        <w:spacing w:after="0" w:line="240" w:lineRule="auto"/>
        <w:jc w:val="both"/>
        <w:rPr>
          <w:rFonts w:ascii="Arial" w:hAnsi="Arial" w:cs="Arial"/>
        </w:rPr>
      </w:pPr>
    </w:p>
    <w:p w:rsidR="0054445F" w:rsidRPr="0054445F" w:rsidRDefault="0054445F" w:rsidP="005444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1: </w:t>
      </w:r>
      <w:r w:rsidR="00FC70F9">
        <w:rPr>
          <w:rFonts w:ascii="Arial" w:hAnsi="Arial" w:cs="Arial"/>
        </w:rPr>
        <w:t>Nacionalni cilji Republike Slovenije za leto 2020 glede na krovne cilje strategije Evropa 2020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4"/>
        <w:gridCol w:w="3105"/>
        <w:gridCol w:w="3105"/>
      </w:tblGrid>
      <w:tr w:rsidR="00765218" w:rsidRPr="0054445F" w:rsidTr="00FC70F9">
        <w:trPr>
          <w:trHeight w:val="769"/>
          <w:jc w:val="center"/>
        </w:trPr>
        <w:tc>
          <w:tcPr>
            <w:tcW w:w="1666" w:type="pct"/>
            <w:shd w:val="pct10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42029D" w:rsidP="008A7A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Krovni cilji strategije Evropa 2020</w:t>
            </w:r>
          </w:p>
        </w:tc>
        <w:tc>
          <w:tcPr>
            <w:tcW w:w="1667" w:type="pct"/>
            <w:shd w:val="pct10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42029D" w:rsidP="008A7A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Trenutna situacija v Sloveniji</w:t>
            </w:r>
          </w:p>
        </w:tc>
        <w:tc>
          <w:tcPr>
            <w:tcW w:w="1667" w:type="pct"/>
            <w:shd w:val="pct10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8A7A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Nacionalni cilj za 2020</w:t>
            </w:r>
          </w:p>
        </w:tc>
      </w:tr>
      <w:tr w:rsidR="00765218" w:rsidRPr="0054445F" w:rsidTr="00FC70F9">
        <w:trPr>
          <w:trHeight w:val="679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3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</w:t>
            </w:r>
            <w:r w:rsidR="008A7ACE">
              <w:rPr>
                <w:rFonts w:ascii="Arial" w:hAnsi="Arial" w:cs="Arial"/>
              </w:rPr>
              <w:t>BDP EU investiranih v raziskave in razvoj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2</w:t>
            </w:r>
            <w:r w:rsidR="008A7ACE">
              <w:rPr>
                <w:rFonts w:ascii="Arial" w:hAnsi="Arial" w:cs="Arial"/>
              </w:rPr>
              <w:t>,</w:t>
            </w:r>
            <w:r w:rsidRPr="0054445F">
              <w:rPr>
                <w:rFonts w:ascii="Arial" w:hAnsi="Arial" w:cs="Arial"/>
              </w:rPr>
              <w:t>11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(2010) 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3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</w:t>
            </w:r>
          </w:p>
        </w:tc>
      </w:tr>
      <w:tr w:rsidR="00765218" w:rsidRPr="0054445F" w:rsidTr="00FC70F9">
        <w:trPr>
          <w:trHeight w:val="1222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20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</w:t>
            </w:r>
            <w:r w:rsidR="008A7ACE">
              <w:rPr>
                <w:rFonts w:ascii="Arial" w:hAnsi="Arial" w:cs="Arial"/>
              </w:rPr>
              <w:t>zmanjšanje emisij toplogrednih plinov glede na leto 1990</w:t>
            </w:r>
            <w:r w:rsidRPr="005444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8A7A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4445F" w:rsidRPr="0054445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54445F" w:rsidRPr="0054445F">
              <w:rPr>
                <w:rFonts w:ascii="Arial" w:hAnsi="Arial" w:cs="Arial"/>
              </w:rPr>
              <w:t>% (</w:t>
            </w:r>
            <w:r>
              <w:rPr>
                <w:rFonts w:ascii="Arial" w:hAnsi="Arial" w:cs="Arial"/>
              </w:rPr>
              <w:t>emisij glede na leto</w:t>
            </w:r>
            <w:r w:rsidR="0054445F" w:rsidRPr="0054445F">
              <w:rPr>
                <w:rFonts w:ascii="Arial" w:hAnsi="Arial" w:cs="Arial"/>
              </w:rPr>
              <w:t xml:space="preserve"> 2005)</w:t>
            </w:r>
          </w:p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+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17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(2020 </w:t>
            </w:r>
            <w:r w:rsidR="008A7ACE">
              <w:rPr>
                <w:rFonts w:ascii="Arial" w:hAnsi="Arial" w:cs="Arial"/>
              </w:rPr>
              <w:t>napovedi glede na leto</w:t>
            </w:r>
            <w:r w:rsidRPr="0054445F">
              <w:rPr>
                <w:rFonts w:ascii="Arial" w:hAnsi="Arial" w:cs="Arial"/>
              </w:rPr>
              <w:t xml:space="preserve"> 2005)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 xml:space="preserve"> 4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</w:t>
            </w:r>
          </w:p>
          <w:p w:rsidR="0054445F" w:rsidRPr="0054445F" w:rsidRDefault="0054445F" w:rsidP="00316B2C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(</w:t>
            </w:r>
            <w:r w:rsidR="008A7ACE">
              <w:rPr>
                <w:rFonts w:ascii="Arial" w:hAnsi="Arial" w:cs="Arial"/>
              </w:rPr>
              <w:t>zavezujoč nacionalni cilj za sektorje</w:t>
            </w:r>
            <w:r w:rsidR="00316B2C">
              <w:rPr>
                <w:rFonts w:ascii="Arial" w:hAnsi="Arial" w:cs="Arial"/>
              </w:rPr>
              <w:t xml:space="preserve">, ki ne sodijo v </w:t>
            </w:r>
            <w:r w:rsidR="00316B2C" w:rsidRPr="00316B2C">
              <w:rPr>
                <w:rFonts w:ascii="Arial" w:hAnsi="Arial" w:cs="Arial"/>
              </w:rPr>
              <w:t>evropski sistem trgovanja z emisijami</w:t>
            </w:r>
            <w:r w:rsidR="006209E6">
              <w:rPr>
                <w:rFonts w:ascii="Arial" w:hAnsi="Arial" w:cs="Arial"/>
              </w:rPr>
              <w:t>,</w:t>
            </w:r>
            <w:r w:rsidR="008A7ACE">
              <w:rPr>
                <w:rFonts w:ascii="Arial" w:hAnsi="Arial" w:cs="Arial"/>
              </w:rPr>
              <w:t xml:space="preserve"> glede na leto</w:t>
            </w:r>
            <w:r w:rsidRPr="0054445F">
              <w:rPr>
                <w:rFonts w:ascii="Arial" w:hAnsi="Arial" w:cs="Arial"/>
              </w:rPr>
              <w:t xml:space="preserve"> 2005)</w:t>
            </w:r>
          </w:p>
        </w:tc>
      </w:tr>
      <w:tr w:rsidR="00765218" w:rsidRPr="0054445F" w:rsidTr="00FC70F9">
        <w:trPr>
          <w:trHeight w:val="408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20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</w:t>
            </w:r>
            <w:r w:rsidR="008A7ACE">
              <w:rPr>
                <w:rFonts w:ascii="Arial" w:hAnsi="Arial" w:cs="Arial"/>
              </w:rPr>
              <w:t>energije iz obnovljivih virov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19</w:t>
            </w:r>
            <w:r w:rsidR="008A7ACE">
              <w:rPr>
                <w:rFonts w:ascii="Arial" w:hAnsi="Arial" w:cs="Arial"/>
              </w:rPr>
              <w:t>,</w:t>
            </w:r>
            <w:r w:rsidRPr="0054445F">
              <w:rPr>
                <w:rFonts w:ascii="Arial" w:hAnsi="Arial" w:cs="Arial"/>
              </w:rPr>
              <w:t>8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 (2010)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25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</w:t>
            </w:r>
          </w:p>
        </w:tc>
      </w:tr>
      <w:tr w:rsidR="00765218" w:rsidRPr="0054445F" w:rsidTr="00FC70F9">
        <w:trPr>
          <w:trHeight w:val="408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20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</w:t>
            </w:r>
            <w:r w:rsidR="008A7ACE">
              <w:rPr>
                <w:rFonts w:ascii="Arial" w:hAnsi="Arial" w:cs="Arial"/>
              </w:rPr>
              <w:t>povečanje energetske učinkovitosti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8A7A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8A7A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765218" w:rsidRPr="0054445F" w:rsidTr="00FC70F9">
        <w:trPr>
          <w:trHeight w:val="679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75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 xml:space="preserve">% </w:t>
            </w:r>
            <w:r w:rsidR="008A7ACE">
              <w:rPr>
                <w:rFonts w:ascii="Arial" w:hAnsi="Arial" w:cs="Arial"/>
              </w:rPr>
              <w:t>prebivalstva</w:t>
            </w:r>
            <w:r w:rsidR="00FB4195">
              <w:rPr>
                <w:rFonts w:ascii="Arial" w:hAnsi="Arial" w:cs="Arial"/>
              </w:rPr>
              <w:t>,</w:t>
            </w:r>
            <w:r w:rsidRPr="0054445F">
              <w:rPr>
                <w:rFonts w:ascii="Arial" w:hAnsi="Arial" w:cs="Arial"/>
              </w:rPr>
              <w:t xml:space="preserve"> </w:t>
            </w:r>
            <w:r w:rsidR="008A7ACE">
              <w:rPr>
                <w:rFonts w:ascii="Arial" w:hAnsi="Arial" w:cs="Arial"/>
              </w:rPr>
              <w:t>starega</w:t>
            </w:r>
            <w:r w:rsidRPr="0054445F">
              <w:rPr>
                <w:rFonts w:ascii="Arial" w:hAnsi="Arial" w:cs="Arial"/>
              </w:rPr>
              <w:t xml:space="preserve"> 20-64 </w:t>
            </w:r>
            <w:r w:rsidR="008A7ACE">
              <w:rPr>
                <w:rFonts w:ascii="Arial" w:hAnsi="Arial" w:cs="Arial"/>
              </w:rPr>
              <w:t>let</w:t>
            </w:r>
            <w:r w:rsidR="00FB4195">
              <w:rPr>
                <w:rFonts w:ascii="Arial" w:hAnsi="Arial" w:cs="Arial"/>
              </w:rPr>
              <w:t>,</w:t>
            </w:r>
            <w:r w:rsidR="008A7ACE">
              <w:rPr>
                <w:rFonts w:ascii="Arial" w:hAnsi="Arial" w:cs="Arial"/>
              </w:rPr>
              <w:t xml:space="preserve"> bi moralo biti zaposlenega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68</w:t>
            </w:r>
            <w:r w:rsidR="008A7ACE">
              <w:rPr>
                <w:rFonts w:ascii="Arial" w:hAnsi="Arial" w:cs="Arial"/>
              </w:rPr>
              <w:t>,</w:t>
            </w:r>
            <w:r w:rsidRPr="0054445F">
              <w:rPr>
                <w:rFonts w:ascii="Arial" w:hAnsi="Arial" w:cs="Arial"/>
              </w:rPr>
              <w:t>4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 (2011)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75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</w:t>
            </w:r>
          </w:p>
        </w:tc>
      </w:tr>
      <w:tr w:rsidR="00765218" w:rsidRPr="0054445F" w:rsidTr="00FC70F9">
        <w:trPr>
          <w:trHeight w:val="679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8A7A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Zmanjšanje zgodnjega zapuščanja šole na manj kot</w:t>
            </w:r>
            <w:r w:rsidR="0054445F" w:rsidRPr="0054445F">
              <w:rPr>
                <w:rFonts w:ascii="Arial" w:hAnsi="Arial" w:cs="Arial"/>
              </w:rPr>
              <w:t xml:space="preserve"> 10</w:t>
            </w:r>
            <w:r>
              <w:rPr>
                <w:rFonts w:ascii="Arial" w:hAnsi="Arial" w:cs="Arial"/>
              </w:rPr>
              <w:t xml:space="preserve"> </w:t>
            </w:r>
            <w:r w:rsidR="0054445F" w:rsidRPr="0054445F">
              <w:rPr>
                <w:rFonts w:ascii="Arial" w:hAnsi="Arial" w:cs="Arial"/>
              </w:rPr>
              <w:t>%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4</w:t>
            </w:r>
            <w:r w:rsidR="008A7ACE">
              <w:rPr>
                <w:rFonts w:ascii="Arial" w:hAnsi="Arial" w:cs="Arial"/>
              </w:rPr>
              <w:t>,</w:t>
            </w:r>
            <w:r w:rsidRPr="0054445F">
              <w:rPr>
                <w:rFonts w:ascii="Arial" w:hAnsi="Arial" w:cs="Arial"/>
              </w:rPr>
              <w:t>2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 (2011)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FB4195" w:rsidP="00FB41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največ</w:t>
            </w:r>
            <w:r w:rsidR="0054445F" w:rsidRPr="0054445F">
              <w:rPr>
                <w:rFonts w:ascii="Arial" w:hAnsi="Arial" w:cs="Arial"/>
              </w:rPr>
              <w:t xml:space="preserve"> 5</w:t>
            </w:r>
            <w:r w:rsidR="008A7ACE">
              <w:rPr>
                <w:rFonts w:ascii="Arial" w:hAnsi="Arial" w:cs="Arial"/>
              </w:rPr>
              <w:t xml:space="preserve"> </w:t>
            </w:r>
            <w:r w:rsidR="0054445F" w:rsidRPr="0054445F">
              <w:rPr>
                <w:rFonts w:ascii="Arial" w:hAnsi="Arial" w:cs="Arial"/>
              </w:rPr>
              <w:t>%</w:t>
            </w:r>
          </w:p>
        </w:tc>
      </w:tr>
      <w:tr w:rsidR="00765218" w:rsidRPr="0054445F" w:rsidTr="00FC70F9">
        <w:trPr>
          <w:trHeight w:val="679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FB41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Vsaj</w:t>
            </w:r>
            <w:r w:rsidR="0054445F" w:rsidRPr="0054445F">
              <w:rPr>
                <w:rFonts w:ascii="Arial" w:hAnsi="Arial" w:cs="Arial"/>
              </w:rPr>
              <w:t xml:space="preserve"> 40</w:t>
            </w:r>
            <w:r>
              <w:rPr>
                <w:rFonts w:ascii="Arial" w:hAnsi="Arial" w:cs="Arial"/>
              </w:rPr>
              <w:t xml:space="preserve"> </w:t>
            </w:r>
            <w:r w:rsidR="0054445F" w:rsidRPr="0054445F">
              <w:rPr>
                <w:rFonts w:ascii="Arial" w:hAnsi="Arial" w:cs="Arial"/>
              </w:rPr>
              <w:t>% 30-34</w:t>
            </w:r>
            <w:r>
              <w:rPr>
                <w:rFonts w:ascii="Arial" w:hAnsi="Arial" w:cs="Arial"/>
              </w:rPr>
              <w:t>-letnikov bi moral</w:t>
            </w:r>
            <w:r w:rsidR="00FB419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dokončati terciarno ali enakovredno izobrazbo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37</w:t>
            </w:r>
            <w:r w:rsidR="008A7ACE">
              <w:rPr>
                <w:rFonts w:ascii="Arial" w:hAnsi="Arial" w:cs="Arial"/>
              </w:rPr>
              <w:t>,</w:t>
            </w:r>
            <w:r w:rsidRPr="0054445F">
              <w:rPr>
                <w:rFonts w:ascii="Arial" w:hAnsi="Arial" w:cs="Arial"/>
              </w:rPr>
              <w:t>9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 (2011)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40</w:t>
            </w:r>
            <w:r w:rsidR="008A7ACE">
              <w:rPr>
                <w:rFonts w:ascii="Arial" w:hAnsi="Arial" w:cs="Arial"/>
              </w:rPr>
              <w:t xml:space="preserve"> </w:t>
            </w:r>
            <w:r w:rsidRPr="0054445F">
              <w:rPr>
                <w:rFonts w:ascii="Arial" w:hAnsi="Arial" w:cs="Arial"/>
              </w:rPr>
              <w:t>%</w:t>
            </w:r>
          </w:p>
        </w:tc>
      </w:tr>
      <w:tr w:rsidR="00765218" w:rsidRPr="0054445F" w:rsidTr="00FC70F9">
        <w:trPr>
          <w:trHeight w:val="679"/>
          <w:jc w:val="center"/>
        </w:trPr>
        <w:tc>
          <w:tcPr>
            <w:tcW w:w="166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9270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Zmanjšanje števil</w:t>
            </w:r>
            <w:r w:rsidR="00FB419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ljudi</w:t>
            </w:r>
            <w:r w:rsidR="00FB4195">
              <w:rPr>
                <w:rFonts w:ascii="Arial" w:hAnsi="Arial" w:cs="Arial"/>
              </w:rPr>
              <w:t>, ki jim grozita</w:t>
            </w:r>
            <w:r w:rsidR="009270B9">
              <w:rPr>
                <w:rFonts w:ascii="Arial" w:hAnsi="Arial" w:cs="Arial"/>
              </w:rPr>
              <w:t xml:space="preserve"> revščina</w:t>
            </w:r>
            <w:r>
              <w:rPr>
                <w:rFonts w:ascii="Arial" w:hAnsi="Arial" w:cs="Arial"/>
              </w:rPr>
              <w:t xml:space="preserve"> ali izključenost za 20 milijonov v EU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8A7ACE" w:rsidP="008A7A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 napredka</w:t>
            </w:r>
          </w:p>
        </w:tc>
        <w:tc>
          <w:tcPr>
            <w:tcW w:w="166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 xml:space="preserve">40.000 </w:t>
            </w:r>
            <w:r w:rsidR="008A7ACE">
              <w:rPr>
                <w:rFonts w:ascii="Arial" w:hAnsi="Arial" w:cs="Arial"/>
              </w:rPr>
              <w:t>ljudi</w:t>
            </w:r>
          </w:p>
          <w:p w:rsidR="0054445F" w:rsidRPr="0054445F" w:rsidRDefault="0054445F" w:rsidP="008A7ACE">
            <w:pPr>
              <w:spacing w:after="0" w:line="240" w:lineRule="auto"/>
              <w:rPr>
                <w:rFonts w:ascii="Arial" w:hAnsi="Arial" w:cs="Arial"/>
              </w:rPr>
            </w:pPr>
            <w:r w:rsidRPr="0054445F">
              <w:rPr>
                <w:rFonts w:ascii="Arial" w:hAnsi="Arial" w:cs="Arial"/>
              </w:rPr>
              <w:t>(</w:t>
            </w:r>
            <w:r w:rsidR="008A7ACE">
              <w:rPr>
                <w:rFonts w:ascii="Arial" w:hAnsi="Arial" w:cs="Arial"/>
              </w:rPr>
              <w:t>referenčno leto</w:t>
            </w:r>
            <w:r w:rsidRPr="0054445F">
              <w:rPr>
                <w:rFonts w:ascii="Arial" w:hAnsi="Arial" w:cs="Arial"/>
              </w:rPr>
              <w:t>: 2008)</w:t>
            </w:r>
          </w:p>
        </w:tc>
      </w:tr>
    </w:tbl>
    <w:p w:rsidR="0054445F" w:rsidRPr="0054445F" w:rsidRDefault="0054445F" w:rsidP="0054445F">
      <w:pPr>
        <w:spacing w:after="0" w:line="240" w:lineRule="auto"/>
        <w:jc w:val="both"/>
        <w:rPr>
          <w:rFonts w:ascii="Arial" w:hAnsi="Arial" w:cs="Arial"/>
        </w:rPr>
      </w:pPr>
      <w:r w:rsidRPr="007361DB">
        <w:rPr>
          <w:rFonts w:ascii="Arial" w:hAnsi="Arial" w:cs="Arial"/>
        </w:rPr>
        <w:t xml:space="preserve">Vir: </w:t>
      </w:r>
      <w:r w:rsidR="008A7ACE" w:rsidRPr="007361DB">
        <w:rPr>
          <w:rFonts w:ascii="Arial" w:hAnsi="Arial" w:cs="Arial"/>
        </w:rPr>
        <w:t>Evropska komisija</w:t>
      </w:r>
    </w:p>
    <w:p w:rsidR="0054445F" w:rsidRDefault="0054445F" w:rsidP="00D07770">
      <w:pPr>
        <w:pStyle w:val="align-justify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val="sl-SI" w:eastAsia="en-US"/>
        </w:rPr>
      </w:pPr>
    </w:p>
    <w:p w:rsidR="00D07770" w:rsidRPr="0054445F" w:rsidRDefault="00D07770" w:rsidP="00D07770">
      <w:pPr>
        <w:pStyle w:val="align-justif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>Pripravo krovnih strateških in izvedbenih dokumentov Republike Slovenije vodi</w:t>
      </w:r>
      <w:r w:rsidRPr="0054445F">
        <w:rPr>
          <w:rFonts w:ascii="Arial" w:eastAsia="Calibri" w:hAnsi="Arial" w:cs="Arial"/>
          <w:b/>
          <w:sz w:val="22"/>
          <w:szCs w:val="22"/>
          <w:lang w:val="sl-SI" w:eastAsia="en-US"/>
        </w:rPr>
        <w:t xml:space="preserve"> Ministrstvo za gospodarski razvoj in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 xml:space="preserve"> </w:t>
      </w:r>
      <w:r w:rsidRPr="0054445F">
        <w:rPr>
          <w:rFonts w:ascii="Arial" w:eastAsia="Calibri" w:hAnsi="Arial" w:cs="Arial"/>
          <w:b/>
          <w:sz w:val="22"/>
          <w:szCs w:val="22"/>
          <w:lang w:val="sl-SI" w:eastAsia="en-US"/>
        </w:rPr>
        <w:t>tehnologijo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 xml:space="preserve">, ki skladno s stališči Evropske komisije in na podlagi </w:t>
      </w:r>
      <w:r w:rsidR="007361DB" w:rsidRPr="007361DB">
        <w:rPr>
          <w:rFonts w:ascii="Arial" w:eastAsia="Calibri" w:hAnsi="Arial" w:cs="Arial"/>
          <w:sz w:val="22"/>
          <w:szCs w:val="22"/>
          <w:lang w:val="sl-SI" w:eastAsia="en-US"/>
        </w:rPr>
        <w:t>strategije Evropa 2020, slovenskih nacionalnih ciljev, statističnih analiz in javne razprave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 xml:space="preserve"> pripravlja novo </w:t>
      </w:r>
      <w:r w:rsidR="007361DB" w:rsidRPr="007361DB">
        <w:rPr>
          <w:rFonts w:ascii="Arial" w:eastAsia="Calibri" w:hAnsi="Arial" w:cs="Arial"/>
          <w:b/>
          <w:sz w:val="22"/>
          <w:szCs w:val="22"/>
          <w:lang w:val="sl-SI" w:eastAsia="en-US"/>
        </w:rPr>
        <w:t>Strategijo razvoja Slovenije</w:t>
      </w:r>
      <w:r w:rsidRPr="007361DB">
        <w:rPr>
          <w:rFonts w:ascii="Arial" w:eastAsia="Calibri" w:hAnsi="Arial" w:cs="Arial"/>
          <w:b/>
          <w:sz w:val="22"/>
          <w:szCs w:val="22"/>
          <w:lang w:val="sl-SI" w:eastAsia="en-US"/>
        </w:rPr>
        <w:t xml:space="preserve"> 2014–2020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>. Ta bo skupaj z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 xml:space="preserve"> izvedbeni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>mi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 xml:space="preserve"> dokumenti podlaga za določanje konkretnih prioritet in prihodnje črpanje sredstev iz evropskih skladov. 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>V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 xml:space="preserve"> oblikovanje strategije 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 xml:space="preserve">je ministrstvo 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 xml:space="preserve">vključilo ključne deležnike, ki so pri pripravi lahko sodelovali z izpolnitvijo spletnega anketnega vprašalnika in prek javnih razprav, v katere so </w:t>
      </w:r>
      <w:r w:rsidR="007361DB">
        <w:rPr>
          <w:rFonts w:ascii="Arial" w:eastAsia="Calibri" w:hAnsi="Arial" w:cs="Arial"/>
          <w:sz w:val="22"/>
          <w:szCs w:val="22"/>
          <w:lang w:val="sl-SI" w:eastAsia="en-US"/>
        </w:rPr>
        <w:t xml:space="preserve">(bili) 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>vključeni eksperti</w:t>
      </w:r>
      <w:r w:rsidR="000D11BF">
        <w:rPr>
          <w:rFonts w:ascii="Arial" w:eastAsia="Calibri" w:hAnsi="Arial" w:cs="Arial"/>
          <w:sz w:val="22"/>
          <w:szCs w:val="22"/>
          <w:lang w:val="sl-SI" w:eastAsia="en-US"/>
        </w:rPr>
        <w:t>,</w:t>
      </w:r>
      <w:r w:rsidRPr="0054445F">
        <w:rPr>
          <w:rFonts w:ascii="Arial" w:eastAsia="Calibri" w:hAnsi="Arial" w:cs="Arial"/>
          <w:sz w:val="22"/>
          <w:szCs w:val="22"/>
          <w:lang w:val="sl-SI" w:eastAsia="en-US"/>
        </w:rPr>
        <w:t xml:space="preserve"> </w:t>
      </w:r>
      <w:r w:rsidRPr="0054445F">
        <w:rPr>
          <w:rFonts w:ascii="Arial" w:hAnsi="Arial" w:cs="Arial"/>
          <w:sz w:val="22"/>
          <w:szCs w:val="22"/>
          <w:lang w:val="sl-SI"/>
        </w:rPr>
        <w:t>korporativistične institucije (npr. ekonomsko socialni svet, državni zbor, državni svet, različni strateški sveti na vladni oz. resorni ravni, gospodarska združenja) in širša javnost (</w:t>
      </w:r>
      <w:r w:rsidR="007361DB">
        <w:rPr>
          <w:rFonts w:ascii="Arial" w:hAnsi="Arial" w:cs="Arial"/>
          <w:sz w:val="22"/>
          <w:szCs w:val="22"/>
          <w:lang w:val="sl-SI"/>
        </w:rPr>
        <w:t>nevladne organizacije</w:t>
      </w:r>
      <w:r w:rsidRPr="0054445F">
        <w:rPr>
          <w:rFonts w:ascii="Arial" w:hAnsi="Arial" w:cs="Arial"/>
          <w:sz w:val="22"/>
          <w:szCs w:val="22"/>
          <w:lang w:val="sl-SI"/>
        </w:rPr>
        <w:t xml:space="preserve">, posamezniki itd.). </w:t>
      </w:r>
    </w:p>
    <w:p w:rsidR="00AB4873" w:rsidRPr="0054445F" w:rsidRDefault="00AB4873" w:rsidP="00D07770">
      <w:pPr>
        <w:pStyle w:val="align-justif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l-SI"/>
        </w:rPr>
      </w:pPr>
    </w:p>
    <w:p w:rsidR="00D07770" w:rsidRPr="0054445F" w:rsidRDefault="00AE2C4A" w:rsidP="00D077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BC16A4">
        <w:rPr>
          <w:rFonts w:ascii="Arial" w:eastAsia="Times New Roman" w:hAnsi="Arial" w:cs="Arial"/>
          <w:lang w:eastAsia="en-GB"/>
        </w:rPr>
        <w:t>inistrstvo je predlagalo naslednje</w:t>
      </w:r>
      <w:r w:rsidR="00D07770" w:rsidRPr="0054445F">
        <w:rPr>
          <w:rFonts w:ascii="Arial" w:eastAsia="Times New Roman" w:hAnsi="Arial" w:cs="Arial"/>
          <w:lang w:eastAsia="en-GB"/>
        </w:rPr>
        <w:t xml:space="preserve"> vizij</w:t>
      </w:r>
      <w:r>
        <w:rPr>
          <w:rFonts w:ascii="Arial" w:eastAsia="Times New Roman" w:hAnsi="Arial" w:cs="Arial"/>
          <w:lang w:eastAsia="en-GB"/>
        </w:rPr>
        <w:t>o</w:t>
      </w:r>
      <w:r w:rsidR="00D07770" w:rsidRPr="0054445F">
        <w:rPr>
          <w:rFonts w:ascii="Arial" w:eastAsia="Times New Roman" w:hAnsi="Arial" w:cs="Arial"/>
          <w:lang w:eastAsia="en-GB"/>
        </w:rPr>
        <w:t xml:space="preserve"> in cilj</w:t>
      </w:r>
      <w:r>
        <w:rPr>
          <w:rFonts w:ascii="Arial" w:eastAsia="Times New Roman" w:hAnsi="Arial" w:cs="Arial"/>
          <w:lang w:eastAsia="en-GB"/>
        </w:rPr>
        <w:t>e</w:t>
      </w:r>
      <w:r w:rsidR="0030697E">
        <w:rPr>
          <w:rFonts w:ascii="Arial" w:eastAsia="Times New Roman" w:hAnsi="Arial" w:cs="Arial"/>
          <w:lang w:eastAsia="en-GB"/>
        </w:rPr>
        <w:t xml:space="preserve"> </w:t>
      </w:r>
      <w:r w:rsidR="00D07770" w:rsidRPr="0054445F">
        <w:rPr>
          <w:rFonts w:ascii="Arial" w:eastAsia="Times New Roman" w:hAnsi="Arial" w:cs="Arial"/>
          <w:lang w:eastAsia="en-GB"/>
        </w:rPr>
        <w:t>Strategije razvoja Slovenije:</w:t>
      </w:r>
    </w:p>
    <w:p w:rsidR="00D07770" w:rsidRPr="0054445F" w:rsidRDefault="00D07770" w:rsidP="00D0777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54445F">
        <w:rPr>
          <w:rFonts w:ascii="Arial" w:eastAsia="Times New Roman" w:hAnsi="Arial" w:cs="Arial"/>
          <w:b/>
          <w:lang w:eastAsia="en-GB"/>
        </w:rPr>
        <w:t>Vizija:</w:t>
      </w:r>
      <w:r w:rsidRPr="0054445F">
        <w:rPr>
          <w:rFonts w:ascii="Arial" w:eastAsia="Times New Roman" w:hAnsi="Arial" w:cs="Arial"/>
          <w:lang w:eastAsia="en-GB"/>
        </w:rPr>
        <w:t xml:space="preserve"> Doseči ustvarjalni trajnostni razvoj, prehod iz pasivizirajoče v omogočujočo socialno državo, redifiniranje odgovornosti za doseganje ciljev ekonomskega razvoja.</w:t>
      </w:r>
    </w:p>
    <w:p w:rsidR="00D07770" w:rsidRDefault="00D07770" w:rsidP="00D0777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54445F">
        <w:rPr>
          <w:rFonts w:ascii="Arial" w:eastAsia="Times New Roman" w:hAnsi="Arial" w:cs="Arial"/>
          <w:b/>
          <w:lang w:eastAsia="en-GB"/>
        </w:rPr>
        <w:lastRenderedPageBreak/>
        <w:t>Cilji:</w:t>
      </w:r>
      <w:r w:rsidRPr="0054445F">
        <w:rPr>
          <w:rFonts w:ascii="Arial" w:eastAsia="Times New Roman" w:hAnsi="Arial" w:cs="Arial"/>
          <w:lang w:eastAsia="en-GB"/>
        </w:rPr>
        <w:t xml:space="preserve"> Povečevanje blaginje ljudi z višjo zaposlenostjo, višjo dodano vrednostjo, višja produktivnost, višji indeks zadovoljstva/sreče.</w:t>
      </w:r>
      <w:r w:rsidR="0030697E">
        <w:rPr>
          <w:rFonts w:ascii="Arial" w:eastAsia="Times New Roman" w:hAnsi="Arial" w:cs="Arial"/>
          <w:lang w:eastAsia="en-GB"/>
        </w:rPr>
        <w:t xml:space="preserve"> Cilji so z namenom merljivosti uspešnosti in učinkovitosti ukrepov tudi kvantificirani (glej Tabelo 2).</w:t>
      </w:r>
    </w:p>
    <w:p w:rsidR="0030697E" w:rsidRDefault="0030697E" w:rsidP="00D077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D07770" w:rsidRPr="0054445F" w:rsidRDefault="00D07770" w:rsidP="00D077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54445F">
        <w:rPr>
          <w:rFonts w:ascii="Arial" w:eastAsia="Times New Roman" w:hAnsi="Arial" w:cs="Arial"/>
          <w:lang w:eastAsia="en-GB"/>
        </w:rPr>
        <w:t xml:space="preserve">Tabela </w:t>
      </w:r>
      <w:r w:rsidR="0054445F">
        <w:rPr>
          <w:rFonts w:ascii="Arial" w:eastAsia="Times New Roman" w:hAnsi="Arial" w:cs="Arial"/>
          <w:lang w:eastAsia="en-GB"/>
        </w:rPr>
        <w:t>2</w:t>
      </w:r>
      <w:r w:rsidRPr="0054445F">
        <w:rPr>
          <w:rFonts w:ascii="Arial" w:eastAsia="Times New Roman" w:hAnsi="Arial" w:cs="Arial"/>
          <w:lang w:eastAsia="en-GB"/>
        </w:rPr>
        <w:t>: Cilji do leta 2020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07770" w:rsidRPr="0054445F" w:rsidTr="00765218"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>Slovenija 2009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>Slovenija 2020</w:t>
            </w:r>
          </w:p>
        </w:tc>
      </w:tr>
      <w:tr w:rsidR="00D07770" w:rsidRPr="0054445F" w:rsidTr="0076521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30697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 xml:space="preserve">BDP </w:t>
            </w:r>
            <w:r w:rsidR="0030697E">
              <w:rPr>
                <w:rFonts w:ascii="Arial" w:hAnsi="Arial" w:cs="Arial"/>
                <w:b/>
                <w:szCs w:val="20"/>
              </w:rPr>
              <w:t>na prebivalca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17.325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28.000</w:t>
            </w:r>
          </w:p>
        </w:tc>
      </w:tr>
      <w:tr w:rsidR="00D07770" w:rsidRPr="0054445F" w:rsidTr="00765218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>Zadovoljstvo/HPI (happy planet index)</w:t>
            </w:r>
            <w:r w:rsidRPr="0054445F">
              <w:rPr>
                <w:rStyle w:val="FootnoteReference"/>
                <w:rFonts w:ascii="Arial" w:hAnsi="Arial" w:cs="Arial"/>
                <w:b/>
                <w:szCs w:val="20"/>
              </w:rPr>
              <w:footnoteReference w:id="1"/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48,5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53,7</w:t>
            </w:r>
          </w:p>
        </w:tc>
      </w:tr>
      <w:tr w:rsidR="00D07770" w:rsidRPr="0054445F" w:rsidTr="00765218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>Produktivnost (BDP na zaposlenega)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-</w:t>
            </w:r>
            <w:r w:rsidR="00765218">
              <w:rPr>
                <w:rFonts w:ascii="Arial" w:hAnsi="Arial" w:cs="Arial"/>
                <w:szCs w:val="20"/>
              </w:rPr>
              <w:t xml:space="preserve"> </w:t>
            </w:r>
            <w:r w:rsidRPr="0054445F">
              <w:rPr>
                <w:rFonts w:ascii="Arial" w:hAnsi="Arial" w:cs="Arial"/>
                <w:szCs w:val="20"/>
              </w:rPr>
              <w:t>6,4 %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3,5 %</w:t>
            </w:r>
          </w:p>
        </w:tc>
      </w:tr>
      <w:tr w:rsidR="00D07770" w:rsidRPr="0054445F" w:rsidTr="00765218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>Zaposlenost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66 %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75 %</w:t>
            </w:r>
          </w:p>
        </w:tc>
      </w:tr>
      <w:tr w:rsidR="00D07770" w:rsidRPr="0054445F" w:rsidTr="00765218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pct10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54445F">
              <w:rPr>
                <w:rFonts w:ascii="Arial" w:hAnsi="Arial" w:cs="Arial"/>
                <w:b/>
                <w:szCs w:val="20"/>
              </w:rPr>
              <w:t>Dodana vrednost na zaposlenega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41.241</w:t>
            </w:r>
          </w:p>
        </w:tc>
        <w:tc>
          <w:tcPr>
            <w:tcW w:w="3071" w:type="dxa"/>
            <w:shd w:val="clear" w:color="auto" w:fill="FFFFFF" w:themeFill="background1"/>
          </w:tcPr>
          <w:p w:rsidR="00D07770" w:rsidRPr="0054445F" w:rsidRDefault="00D07770" w:rsidP="005A60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54445F">
              <w:rPr>
                <w:rFonts w:ascii="Arial" w:hAnsi="Arial" w:cs="Arial"/>
                <w:szCs w:val="20"/>
              </w:rPr>
              <w:t>70.000</w:t>
            </w:r>
          </w:p>
        </w:tc>
      </w:tr>
    </w:tbl>
    <w:p w:rsidR="00D07770" w:rsidRPr="0054445F" w:rsidRDefault="00D07770" w:rsidP="00D077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4445F">
        <w:rPr>
          <w:rFonts w:ascii="Arial" w:hAnsi="Arial" w:cs="Arial"/>
          <w:szCs w:val="20"/>
        </w:rPr>
        <w:t>Vir: Ministrstvo za gospodarstvo in tehnološki razvoj</w:t>
      </w:r>
    </w:p>
    <w:p w:rsidR="00D07770" w:rsidRPr="0054445F" w:rsidRDefault="00D07770" w:rsidP="00D077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D07770" w:rsidRPr="0054445F" w:rsidRDefault="00D07770" w:rsidP="00D07770">
      <w:pPr>
        <w:spacing w:after="0" w:line="240" w:lineRule="auto"/>
        <w:jc w:val="both"/>
        <w:rPr>
          <w:rFonts w:ascii="Arial" w:hAnsi="Arial" w:cs="Arial"/>
        </w:rPr>
      </w:pPr>
      <w:r w:rsidRPr="00AE2C4A">
        <w:rPr>
          <w:rFonts w:ascii="Arial" w:hAnsi="Arial" w:cs="Arial"/>
          <w:b/>
        </w:rPr>
        <w:t>Prioritete</w:t>
      </w:r>
      <w:r w:rsidRPr="0054445F">
        <w:rPr>
          <w:rFonts w:ascii="Arial" w:hAnsi="Arial" w:cs="Arial"/>
        </w:rPr>
        <w:t xml:space="preserve"> </w:t>
      </w:r>
      <w:r w:rsidR="00AE2C4A">
        <w:rPr>
          <w:rFonts w:ascii="Arial" w:hAnsi="Arial" w:cs="Arial"/>
        </w:rPr>
        <w:t>nove Strategije razvoja Slovenije</w:t>
      </w:r>
      <w:r w:rsidR="0030697E">
        <w:rPr>
          <w:rFonts w:ascii="Arial" w:hAnsi="Arial" w:cs="Arial"/>
        </w:rPr>
        <w:t>, ki se medsebojno prekrivajo,</w:t>
      </w:r>
      <w:r w:rsidR="00AE2C4A">
        <w:rPr>
          <w:rFonts w:ascii="Arial" w:hAnsi="Arial" w:cs="Arial"/>
        </w:rPr>
        <w:t xml:space="preserve"> </w:t>
      </w:r>
      <w:r w:rsidRPr="0054445F">
        <w:rPr>
          <w:rFonts w:ascii="Arial" w:hAnsi="Arial" w:cs="Arial"/>
        </w:rPr>
        <w:t xml:space="preserve">so </w:t>
      </w:r>
      <w:r w:rsidR="00BC16A4">
        <w:rPr>
          <w:rFonts w:ascii="Arial" w:hAnsi="Arial" w:cs="Arial"/>
        </w:rPr>
        <w:t>naslednje</w:t>
      </w:r>
      <w:r w:rsidRPr="0054445F">
        <w:rPr>
          <w:rFonts w:ascii="Arial" w:hAnsi="Arial" w:cs="Arial"/>
        </w:rPr>
        <w:t>:</w:t>
      </w:r>
    </w:p>
    <w:p w:rsidR="00D07770" w:rsidRPr="0054445F" w:rsidRDefault="00D07770" w:rsidP="00D077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 xml:space="preserve">Znanje: </w:t>
      </w:r>
      <w:r w:rsidR="00AE2C4A">
        <w:rPr>
          <w:rFonts w:ascii="Arial" w:hAnsi="Arial" w:cs="Arial"/>
        </w:rPr>
        <w:t>a</w:t>
      </w:r>
      <w:r w:rsidRPr="0054445F">
        <w:rPr>
          <w:rFonts w:ascii="Arial" w:hAnsi="Arial" w:cs="Arial"/>
        </w:rPr>
        <w:t>ktivacija delovno sposobnega prebivalstva, nova delovna mesta, enakost možnosti, socialna vključenost; uravnoteženje ponudbe in povpraševanja na trgu dela; promocija podjetništva</w:t>
      </w:r>
      <w:r w:rsidR="00AE2C4A">
        <w:rPr>
          <w:rFonts w:ascii="Arial" w:hAnsi="Arial" w:cs="Arial"/>
        </w:rPr>
        <w:t xml:space="preserve"> v</w:t>
      </w:r>
      <w:r w:rsidRPr="0054445F">
        <w:rPr>
          <w:rFonts w:ascii="Arial" w:hAnsi="Arial" w:cs="Arial"/>
        </w:rPr>
        <w:t xml:space="preserve"> izobraževanj</w:t>
      </w:r>
      <w:r w:rsidR="00AE2C4A">
        <w:rPr>
          <w:rFonts w:ascii="Arial" w:hAnsi="Arial" w:cs="Arial"/>
        </w:rPr>
        <w:t>u</w:t>
      </w:r>
      <w:r w:rsidRPr="0054445F">
        <w:rPr>
          <w:rFonts w:ascii="Arial" w:hAnsi="Arial" w:cs="Arial"/>
        </w:rPr>
        <w:t>; prožnejše učne poti; vključevanje ranljivih skupin; vzgojna vloga šole; spodbujanje vseživljenjskega učenja; povezovanj</w:t>
      </w:r>
      <w:r w:rsidR="006B541F">
        <w:rPr>
          <w:rFonts w:ascii="Arial" w:hAnsi="Arial" w:cs="Arial"/>
        </w:rPr>
        <w:t>e</w:t>
      </w:r>
      <w:r w:rsidRPr="0054445F">
        <w:rPr>
          <w:rFonts w:ascii="Arial" w:hAnsi="Arial" w:cs="Arial"/>
        </w:rPr>
        <w:t xml:space="preserve"> sistema izobraževanja in dela za večjo konkurenčnost; izboljšanje kompetenc; razvoj in implementacija sistema priznavanja kvalifikacij; učinkovitost in kakovost izobraževanja; mobilnost dijakov, študentov in profesorjev; prenova programov poklicnega izobraževanja in povečevanje ugleda poklicnih šol; spodbujanje odlične znanosti, aplikativnih raziskovalnih in razvojnih projektov.</w:t>
      </w:r>
    </w:p>
    <w:p w:rsidR="00D07770" w:rsidRPr="0054445F" w:rsidRDefault="00D07770" w:rsidP="00D077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 xml:space="preserve">Podjetnost: </w:t>
      </w:r>
      <w:r w:rsidR="00AE2C4A">
        <w:rPr>
          <w:rFonts w:ascii="Arial" w:hAnsi="Arial" w:cs="Arial"/>
        </w:rPr>
        <w:t>p</w:t>
      </w:r>
      <w:r w:rsidRPr="0054445F">
        <w:rPr>
          <w:rFonts w:ascii="Arial" w:hAnsi="Arial" w:cs="Arial"/>
        </w:rPr>
        <w:t>oveča</w:t>
      </w:r>
      <w:r w:rsidR="00AE2C4A">
        <w:rPr>
          <w:rFonts w:ascii="Arial" w:hAnsi="Arial" w:cs="Arial"/>
        </w:rPr>
        <w:t>nje</w:t>
      </w:r>
      <w:r w:rsidRPr="0054445F">
        <w:rPr>
          <w:rFonts w:ascii="Arial" w:hAnsi="Arial" w:cs="Arial"/>
        </w:rPr>
        <w:t xml:space="preserve"> investicij in izkoriščenost</w:t>
      </w:r>
      <w:r w:rsidR="00AE2C4A">
        <w:rPr>
          <w:rFonts w:ascii="Arial" w:hAnsi="Arial" w:cs="Arial"/>
        </w:rPr>
        <w:t>i</w:t>
      </w:r>
      <w:r w:rsidRPr="0054445F">
        <w:rPr>
          <w:rFonts w:ascii="Arial" w:hAnsi="Arial" w:cs="Arial"/>
        </w:rPr>
        <w:t xml:space="preserve"> le-teh v </w:t>
      </w:r>
      <w:r w:rsidR="00AE2C4A">
        <w:rPr>
          <w:rFonts w:ascii="Arial" w:hAnsi="Arial" w:cs="Arial"/>
        </w:rPr>
        <w:t>raziskavah in razvoju</w:t>
      </w:r>
      <w:r w:rsidRPr="0054445F">
        <w:rPr>
          <w:rFonts w:ascii="Arial" w:hAnsi="Arial" w:cs="Arial"/>
        </w:rPr>
        <w:t>; zagot</w:t>
      </w:r>
      <w:r w:rsidR="00AE2C4A">
        <w:rPr>
          <w:rFonts w:ascii="Arial" w:hAnsi="Arial" w:cs="Arial"/>
        </w:rPr>
        <w:t>avljanje</w:t>
      </w:r>
      <w:r w:rsidRPr="0054445F">
        <w:rPr>
          <w:rFonts w:ascii="Arial" w:hAnsi="Arial" w:cs="Arial"/>
        </w:rPr>
        <w:t xml:space="preserve"> ugodn</w:t>
      </w:r>
      <w:r w:rsidR="00AE2C4A">
        <w:rPr>
          <w:rFonts w:ascii="Arial" w:hAnsi="Arial" w:cs="Arial"/>
        </w:rPr>
        <w:t>ih</w:t>
      </w:r>
      <w:r w:rsidRPr="0054445F">
        <w:rPr>
          <w:rFonts w:ascii="Arial" w:hAnsi="Arial" w:cs="Arial"/>
        </w:rPr>
        <w:t xml:space="preserve"> finančn</w:t>
      </w:r>
      <w:r w:rsidR="00AE2C4A">
        <w:rPr>
          <w:rFonts w:ascii="Arial" w:hAnsi="Arial" w:cs="Arial"/>
        </w:rPr>
        <w:t>ih</w:t>
      </w:r>
      <w:r w:rsidRPr="0054445F">
        <w:rPr>
          <w:rFonts w:ascii="Arial" w:hAnsi="Arial" w:cs="Arial"/>
        </w:rPr>
        <w:t xml:space="preserve"> vir</w:t>
      </w:r>
      <w:r w:rsidR="00AE2C4A">
        <w:rPr>
          <w:rFonts w:ascii="Arial" w:hAnsi="Arial" w:cs="Arial"/>
        </w:rPr>
        <w:t>ov</w:t>
      </w:r>
      <w:r w:rsidRPr="0054445F">
        <w:rPr>
          <w:rFonts w:ascii="Arial" w:hAnsi="Arial" w:cs="Arial"/>
        </w:rPr>
        <w:t xml:space="preserve"> za podjetja; ustrezne prometne povezave, </w:t>
      </w:r>
      <w:r w:rsidR="00AE2C4A">
        <w:rPr>
          <w:rFonts w:ascii="Arial" w:hAnsi="Arial" w:cs="Arial"/>
        </w:rPr>
        <w:t>boljša</w:t>
      </w:r>
      <w:r w:rsidRPr="0054445F">
        <w:rPr>
          <w:rFonts w:ascii="Arial" w:hAnsi="Arial" w:cs="Arial"/>
        </w:rPr>
        <w:t xml:space="preserve"> dostopnost do večjih urbanih središč, posodobitev železniške infrastrukture, zmanjšanje emisij toplogrednih plinov in </w:t>
      </w:r>
      <w:r w:rsidR="00AE2C4A">
        <w:rPr>
          <w:rFonts w:ascii="Arial" w:hAnsi="Arial" w:cs="Arial"/>
        </w:rPr>
        <w:t>izboljšanje</w:t>
      </w:r>
      <w:r w:rsidRPr="0054445F">
        <w:rPr>
          <w:rFonts w:ascii="Arial" w:hAnsi="Arial" w:cs="Arial"/>
        </w:rPr>
        <w:t xml:space="preserve"> varnost</w:t>
      </w:r>
      <w:r w:rsidR="00AE2C4A">
        <w:rPr>
          <w:rFonts w:ascii="Arial" w:hAnsi="Arial" w:cs="Arial"/>
        </w:rPr>
        <w:t>i</w:t>
      </w:r>
      <w:r w:rsidRPr="0054445F">
        <w:rPr>
          <w:rFonts w:ascii="Arial" w:hAnsi="Arial" w:cs="Arial"/>
        </w:rPr>
        <w:t xml:space="preserve"> v prometu; pokritost širokopasovnih povezav na celotnem ozemlju države; vlaganje v izgradnjo in modernizacijo energetske infrastrukture za </w:t>
      </w:r>
      <w:r w:rsidR="00AE2C4A">
        <w:rPr>
          <w:rFonts w:ascii="Arial" w:hAnsi="Arial" w:cs="Arial"/>
        </w:rPr>
        <w:t>distribucijo in prenos energije</w:t>
      </w:r>
      <w:r w:rsidRPr="0054445F">
        <w:rPr>
          <w:rFonts w:ascii="Arial" w:hAnsi="Arial" w:cs="Arial"/>
        </w:rPr>
        <w:t xml:space="preserve"> </w:t>
      </w:r>
      <w:r w:rsidR="00AE2C4A">
        <w:rPr>
          <w:rFonts w:ascii="Arial" w:hAnsi="Arial" w:cs="Arial"/>
        </w:rPr>
        <w:t>(</w:t>
      </w:r>
      <w:r w:rsidRPr="0054445F">
        <w:rPr>
          <w:rFonts w:ascii="Arial" w:hAnsi="Arial" w:cs="Arial"/>
        </w:rPr>
        <w:t>vključno s pametnimi omrežji</w:t>
      </w:r>
      <w:r w:rsidR="00AE2C4A">
        <w:rPr>
          <w:rFonts w:ascii="Arial" w:hAnsi="Arial" w:cs="Arial"/>
        </w:rPr>
        <w:t>)</w:t>
      </w:r>
      <w:r w:rsidRPr="0054445F">
        <w:rPr>
          <w:rFonts w:ascii="Arial" w:hAnsi="Arial" w:cs="Arial"/>
        </w:rPr>
        <w:t xml:space="preserve">; prijazno okolje za projekte socialnega podjetništva; zaščita intelektualne lastnine </w:t>
      </w:r>
      <w:r w:rsidR="00AE2C4A">
        <w:rPr>
          <w:rFonts w:ascii="Arial" w:hAnsi="Arial" w:cs="Arial"/>
        </w:rPr>
        <w:t>ter</w:t>
      </w:r>
      <w:r w:rsidRPr="0054445F">
        <w:rPr>
          <w:rFonts w:ascii="Arial" w:hAnsi="Arial" w:cs="Arial"/>
        </w:rPr>
        <w:t xml:space="preserve"> izkoriščanje njene uporabe za gospodarski </w:t>
      </w:r>
      <w:r w:rsidR="00AE2C4A">
        <w:rPr>
          <w:rFonts w:ascii="Arial" w:hAnsi="Arial" w:cs="Arial"/>
        </w:rPr>
        <w:t>in družbeni napredek; spodbujanje</w:t>
      </w:r>
      <w:r w:rsidRPr="0054445F">
        <w:rPr>
          <w:rFonts w:ascii="Arial" w:hAnsi="Arial" w:cs="Arial"/>
        </w:rPr>
        <w:t xml:space="preserve"> internacionalizacij</w:t>
      </w:r>
      <w:r w:rsidR="00AE2C4A">
        <w:rPr>
          <w:rFonts w:ascii="Arial" w:hAnsi="Arial" w:cs="Arial"/>
        </w:rPr>
        <w:t>e</w:t>
      </w:r>
      <w:r w:rsidRPr="0054445F">
        <w:rPr>
          <w:rFonts w:ascii="Arial" w:hAnsi="Arial" w:cs="Arial"/>
        </w:rPr>
        <w:t xml:space="preserve"> podjetij</w:t>
      </w:r>
      <w:r w:rsidR="00AE2C4A">
        <w:rPr>
          <w:rFonts w:ascii="Arial" w:hAnsi="Arial" w:cs="Arial"/>
        </w:rPr>
        <w:t xml:space="preserve"> in</w:t>
      </w:r>
      <w:r w:rsidRPr="0054445F">
        <w:rPr>
          <w:rFonts w:ascii="Arial" w:hAnsi="Arial" w:cs="Arial"/>
        </w:rPr>
        <w:t xml:space="preserve"> kreativn</w:t>
      </w:r>
      <w:r w:rsidR="00AE2C4A">
        <w:rPr>
          <w:rFonts w:ascii="Arial" w:hAnsi="Arial" w:cs="Arial"/>
        </w:rPr>
        <w:t>ih</w:t>
      </w:r>
      <w:r w:rsidRPr="0054445F">
        <w:rPr>
          <w:rFonts w:ascii="Arial" w:hAnsi="Arial" w:cs="Arial"/>
        </w:rPr>
        <w:t xml:space="preserve"> industrij.</w:t>
      </w:r>
    </w:p>
    <w:p w:rsidR="00D07770" w:rsidRPr="0054445F" w:rsidRDefault="00D07770" w:rsidP="00D077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 xml:space="preserve">Aktivno in kakovostno življenje: </w:t>
      </w:r>
      <w:r w:rsidRPr="0054445F">
        <w:rPr>
          <w:rFonts w:ascii="Arial" w:hAnsi="Arial" w:cs="Arial"/>
        </w:rPr>
        <w:t>večja socialna vključenost prejemnikov socialne pomoči; spodbujanje razvoja novih storitev; zmanjševanje tveganja revščine; večja družbena in socialna vključenost; bolj učinkovit zdravstveni in uravnotežen pokojninski sistem; dostopnost do kakovostnih storitev in zagotovitev dolgotrajne oskrbe; prijazna družinska politika; spodbujanje aktivnega staranja; zgodnejše osamosvajanje mladih; mobilnost, spodbujanje in razvoj mobilnih elektronskih storitev.</w:t>
      </w:r>
    </w:p>
    <w:p w:rsidR="00D07770" w:rsidRPr="0054445F" w:rsidRDefault="00D07770" w:rsidP="00D077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 xml:space="preserve">Zeleno: </w:t>
      </w:r>
      <w:r w:rsidRPr="0054445F">
        <w:rPr>
          <w:rFonts w:ascii="Arial" w:hAnsi="Arial" w:cs="Arial"/>
        </w:rPr>
        <w:t xml:space="preserve">mednarodno uveljavljen sektor v proizvodnji in vzdrževanju tehnologij, naprav in storitev na področju </w:t>
      </w:r>
      <w:r w:rsidR="00AE2C4A">
        <w:rPr>
          <w:rFonts w:ascii="Arial" w:hAnsi="Arial" w:cs="Arial"/>
        </w:rPr>
        <w:t>učinkovite rabe in obnovljivih virov energije</w:t>
      </w:r>
      <w:r w:rsidRPr="0054445F">
        <w:rPr>
          <w:rFonts w:ascii="Arial" w:hAnsi="Arial" w:cs="Arial"/>
        </w:rPr>
        <w:t xml:space="preserve">; povečanje </w:t>
      </w:r>
      <w:r w:rsidR="00AE2C4A">
        <w:rPr>
          <w:rFonts w:ascii="Arial" w:hAnsi="Arial" w:cs="Arial"/>
        </w:rPr>
        <w:t>učinkovite rabe in obnovljivih virov energije</w:t>
      </w:r>
      <w:r w:rsidRPr="0054445F">
        <w:rPr>
          <w:rFonts w:ascii="Arial" w:hAnsi="Arial" w:cs="Arial"/>
        </w:rPr>
        <w:t xml:space="preserve">; </w:t>
      </w:r>
      <w:r w:rsidR="00C7135F" w:rsidRPr="0054445F">
        <w:rPr>
          <w:rFonts w:ascii="Arial" w:hAnsi="Arial" w:cs="Arial"/>
        </w:rPr>
        <w:t>omogoča</w:t>
      </w:r>
      <w:r w:rsidR="00C7135F">
        <w:rPr>
          <w:rFonts w:ascii="Arial" w:hAnsi="Arial" w:cs="Arial"/>
        </w:rPr>
        <w:t>nje</w:t>
      </w:r>
      <w:r w:rsidR="00C7135F" w:rsidRPr="0054445F">
        <w:rPr>
          <w:rFonts w:ascii="Arial" w:hAnsi="Arial" w:cs="Arial"/>
        </w:rPr>
        <w:t xml:space="preserve"> </w:t>
      </w:r>
      <w:r w:rsidR="00C7135F">
        <w:rPr>
          <w:rFonts w:ascii="Arial" w:hAnsi="Arial" w:cs="Arial"/>
        </w:rPr>
        <w:t>vstopa</w:t>
      </w:r>
      <w:r w:rsidRPr="0054445F">
        <w:rPr>
          <w:rFonts w:ascii="Arial" w:hAnsi="Arial" w:cs="Arial"/>
        </w:rPr>
        <w:t xml:space="preserve"> inovativn</w:t>
      </w:r>
      <w:r w:rsidR="00C7135F">
        <w:rPr>
          <w:rFonts w:ascii="Arial" w:hAnsi="Arial" w:cs="Arial"/>
        </w:rPr>
        <w:t>ih</w:t>
      </w:r>
      <w:r w:rsidRPr="0054445F">
        <w:rPr>
          <w:rFonts w:ascii="Arial" w:hAnsi="Arial" w:cs="Arial"/>
        </w:rPr>
        <w:t xml:space="preserve"> domač</w:t>
      </w:r>
      <w:r w:rsidR="00C7135F">
        <w:rPr>
          <w:rFonts w:ascii="Arial" w:hAnsi="Arial" w:cs="Arial"/>
        </w:rPr>
        <w:t>ih</w:t>
      </w:r>
      <w:r w:rsidRPr="0054445F">
        <w:rPr>
          <w:rFonts w:ascii="Arial" w:hAnsi="Arial" w:cs="Arial"/>
        </w:rPr>
        <w:t xml:space="preserve"> tehnologij</w:t>
      </w:r>
      <w:r w:rsidR="00C7135F">
        <w:rPr>
          <w:rFonts w:ascii="Arial" w:hAnsi="Arial" w:cs="Arial"/>
        </w:rPr>
        <w:t xml:space="preserve"> na trg</w:t>
      </w:r>
      <w:r w:rsidRPr="0054445F">
        <w:rPr>
          <w:rFonts w:ascii="Arial" w:hAnsi="Arial" w:cs="Arial"/>
        </w:rPr>
        <w:t>; trajnostno gospodarjenje in upravljanje z naravnimi viri; razvoj okoljsko odgovornega turizma (zavarovana območja, Natura 200</w:t>
      </w:r>
      <w:r w:rsidR="00E50B2A">
        <w:rPr>
          <w:rFonts w:ascii="Arial" w:hAnsi="Arial" w:cs="Arial"/>
        </w:rPr>
        <w:t>0</w:t>
      </w:r>
      <w:r w:rsidRPr="0054445F">
        <w:rPr>
          <w:rFonts w:ascii="Arial" w:hAnsi="Arial" w:cs="Arial"/>
        </w:rPr>
        <w:t xml:space="preserve">, podeželje), zelena infrastruktura, varstvo narave; vlaganje v učinkovit prostorski razvoj; okoljska </w:t>
      </w:r>
      <w:r w:rsidRPr="0054445F">
        <w:rPr>
          <w:rFonts w:ascii="Arial" w:hAnsi="Arial" w:cs="Arial"/>
        </w:rPr>
        <w:lastRenderedPageBreak/>
        <w:t xml:space="preserve">infrastruktura; dvig prehranske samooskrbe in izboljšanje </w:t>
      </w:r>
      <w:r w:rsidR="00E50B2A">
        <w:rPr>
          <w:rFonts w:ascii="Arial" w:hAnsi="Arial" w:cs="Arial"/>
        </w:rPr>
        <w:t xml:space="preserve">konkurenčnosti živilsko </w:t>
      </w:r>
      <w:r w:rsidRPr="0054445F">
        <w:rPr>
          <w:rFonts w:ascii="Arial" w:hAnsi="Arial" w:cs="Arial"/>
        </w:rPr>
        <w:t>predelovalne industrije; razvoj in prilagaj</w:t>
      </w:r>
      <w:r w:rsidR="00E50B2A">
        <w:rPr>
          <w:rFonts w:ascii="Arial" w:hAnsi="Arial" w:cs="Arial"/>
        </w:rPr>
        <w:t>an</w:t>
      </w:r>
      <w:r w:rsidRPr="0054445F">
        <w:rPr>
          <w:rFonts w:ascii="Arial" w:hAnsi="Arial" w:cs="Arial"/>
        </w:rPr>
        <w:t>je kmetijske dejavnosti v luči prilagajanja okoljskim standardom in podnebnim spremembam ter dviga konkurenčnosti; dvig konkurenčnosti gozdarstva</w:t>
      </w:r>
      <w:r w:rsidR="00E50B2A">
        <w:rPr>
          <w:rFonts w:ascii="Arial" w:hAnsi="Arial" w:cs="Arial"/>
        </w:rPr>
        <w:t>,</w:t>
      </w:r>
      <w:r w:rsidRPr="0054445F">
        <w:rPr>
          <w:rFonts w:ascii="Arial" w:hAnsi="Arial" w:cs="Arial"/>
        </w:rPr>
        <w:t xml:space="preserve"> morskega ribolova in ribogojstva.</w:t>
      </w:r>
    </w:p>
    <w:p w:rsidR="00D07770" w:rsidRPr="0054445F" w:rsidRDefault="00D07770" w:rsidP="00D0777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4445F">
        <w:rPr>
          <w:rFonts w:ascii="Arial" w:hAnsi="Arial" w:cs="Arial"/>
          <w:b/>
        </w:rPr>
        <w:t xml:space="preserve">Učinkovita država: </w:t>
      </w:r>
      <w:r w:rsidRPr="0054445F">
        <w:rPr>
          <w:rFonts w:ascii="Arial" w:hAnsi="Arial" w:cs="Arial"/>
        </w:rPr>
        <w:t>visok</w:t>
      </w:r>
      <w:r w:rsidR="006A66E4">
        <w:rPr>
          <w:rFonts w:ascii="Arial" w:hAnsi="Arial" w:cs="Arial"/>
        </w:rPr>
        <w:t>a</w:t>
      </w:r>
      <w:r w:rsidRPr="0054445F">
        <w:rPr>
          <w:rFonts w:ascii="Arial" w:hAnsi="Arial" w:cs="Arial"/>
        </w:rPr>
        <w:t xml:space="preserve"> stopnj</w:t>
      </w:r>
      <w:r w:rsidR="006A66E4">
        <w:rPr>
          <w:rFonts w:ascii="Arial" w:hAnsi="Arial" w:cs="Arial"/>
        </w:rPr>
        <w:t>a</w:t>
      </w:r>
      <w:r w:rsidRPr="0054445F">
        <w:rPr>
          <w:rFonts w:ascii="Arial" w:hAnsi="Arial" w:cs="Arial"/>
        </w:rPr>
        <w:t xml:space="preserve"> pravne varnosti in človekovih pravic; pozitivna percepcija zagotavljanja pravnega reda, zaupanja v pravno državo in institucije; hitro in učinovito pravno varstvo z ustavo zagotovljenih pravic in svoboščin državljanov; boljše poslovno in zakonodajno okolje ter učinkovita, moderna in cenejša javna uprava; preventivno zagotavljanje varnosti; razvoj ustreznega podpornega in sistemsko-pravnega okolja za razvoj nevladnih organizacij.</w:t>
      </w:r>
    </w:p>
    <w:p w:rsidR="00AB4873" w:rsidRPr="00A30687" w:rsidRDefault="00AB4873" w:rsidP="00AB4873">
      <w:pPr>
        <w:spacing w:after="0" w:line="240" w:lineRule="auto"/>
        <w:jc w:val="both"/>
        <w:rPr>
          <w:rFonts w:ascii="Arial" w:hAnsi="Arial" w:cs="Arial"/>
          <w:b/>
        </w:rPr>
      </w:pPr>
    </w:p>
    <w:p w:rsidR="006B541F" w:rsidRPr="006B541F" w:rsidRDefault="000D11BF" w:rsidP="006B541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A30687">
        <w:rPr>
          <w:rFonts w:ascii="Arial" w:hAnsi="Arial" w:cs="Arial"/>
          <w:b/>
        </w:rPr>
        <w:t xml:space="preserve">Izhodišča </w:t>
      </w:r>
      <w:r w:rsidR="006B541F" w:rsidRPr="00A30687">
        <w:rPr>
          <w:rFonts w:ascii="Arial" w:hAnsi="Arial" w:cs="Arial"/>
          <w:b/>
        </w:rPr>
        <w:t>Strategij</w:t>
      </w:r>
      <w:r w:rsidRPr="00A30687">
        <w:rPr>
          <w:rFonts w:ascii="Arial" w:hAnsi="Arial" w:cs="Arial"/>
          <w:b/>
        </w:rPr>
        <w:t>e</w:t>
      </w:r>
      <w:r w:rsidR="006B541F" w:rsidRPr="00A30687">
        <w:rPr>
          <w:rFonts w:ascii="Arial" w:hAnsi="Arial" w:cs="Arial"/>
          <w:b/>
        </w:rPr>
        <w:t xml:space="preserve"> razvoja Slovenije 2014–2020 naj bi bil</w:t>
      </w:r>
      <w:r w:rsidRPr="00A30687">
        <w:rPr>
          <w:rFonts w:ascii="Arial" w:hAnsi="Arial" w:cs="Arial"/>
          <w:b/>
        </w:rPr>
        <w:t xml:space="preserve">a sprejeta na seji Vlade RS </w:t>
      </w:r>
      <w:r w:rsidRPr="00A30687">
        <w:rPr>
          <w:rFonts w:ascii="Arial" w:hAnsi="Arial" w:cs="Arial"/>
          <w:b/>
          <w:color w:val="FF0000"/>
        </w:rPr>
        <w:t>31. januarja</w:t>
      </w:r>
      <w:r w:rsidR="006B541F" w:rsidRPr="00A30687">
        <w:rPr>
          <w:rFonts w:ascii="Arial" w:hAnsi="Arial" w:cs="Arial"/>
          <w:b/>
          <w:color w:val="FF0000"/>
        </w:rPr>
        <w:t xml:space="preserve"> 2013</w:t>
      </w:r>
      <w:r w:rsidRPr="00A30687">
        <w:rPr>
          <w:rFonts w:ascii="Arial" w:hAnsi="Arial" w:cs="Arial"/>
          <w:b/>
        </w:rPr>
        <w:t xml:space="preserve">, medtem ko bo strategija predvidoma sprejeta </w:t>
      </w:r>
      <w:r w:rsidRPr="00A30687">
        <w:rPr>
          <w:rFonts w:ascii="Arial" w:hAnsi="Arial" w:cs="Arial"/>
          <w:b/>
          <w:color w:val="FF0000"/>
        </w:rPr>
        <w:t>februarja 2013</w:t>
      </w:r>
      <w:r w:rsidRPr="00A30687">
        <w:rPr>
          <w:rFonts w:ascii="Arial" w:hAnsi="Arial" w:cs="Arial"/>
          <w:b/>
        </w:rPr>
        <w:t>.</w:t>
      </w:r>
    </w:p>
    <w:p w:rsidR="006B541F" w:rsidRPr="0054445F" w:rsidRDefault="006B541F" w:rsidP="00AB4873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:rsidR="007F1374" w:rsidRPr="0054445F" w:rsidRDefault="007F1374" w:rsidP="007F1374">
      <w:pPr>
        <w:spacing w:after="0" w:line="240" w:lineRule="auto"/>
        <w:jc w:val="both"/>
        <w:rPr>
          <w:rFonts w:ascii="Arial" w:hAnsi="Arial" w:cs="Arial"/>
        </w:rPr>
      </w:pPr>
      <w:r w:rsidRPr="00B34D5E">
        <w:rPr>
          <w:rFonts w:ascii="Arial" w:hAnsi="Arial" w:cs="Arial"/>
        </w:rPr>
        <w:t xml:space="preserve">Septembra in oktobra je potekal tudi prvi krog posvetov o razvojnih priložnostih regij v okviru </w:t>
      </w:r>
      <w:r w:rsidRPr="006A66E4">
        <w:rPr>
          <w:rFonts w:ascii="Arial" w:hAnsi="Arial" w:cs="Arial"/>
          <w:b/>
        </w:rPr>
        <w:t>Regionalnega razvojnega programa</w:t>
      </w:r>
      <w:r w:rsidRPr="00B34D5E">
        <w:rPr>
          <w:rFonts w:ascii="Arial" w:hAnsi="Arial" w:cs="Arial"/>
        </w:rPr>
        <w:t xml:space="preserve">, ki je </w:t>
      </w:r>
      <w:r w:rsidR="006A66E4">
        <w:rPr>
          <w:rFonts w:ascii="Arial" w:hAnsi="Arial" w:cs="Arial"/>
        </w:rPr>
        <w:t xml:space="preserve">prav tako </w:t>
      </w:r>
      <w:r w:rsidRPr="00B34D5E">
        <w:rPr>
          <w:rFonts w:ascii="Arial" w:hAnsi="Arial" w:cs="Arial"/>
        </w:rPr>
        <w:t xml:space="preserve">v pripravi. Januarja in februarja </w:t>
      </w:r>
      <w:r w:rsidR="006A66E4">
        <w:rPr>
          <w:rFonts w:ascii="Arial" w:hAnsi="Arial" w:cs="Arial"/>
        </w:rPr>
        <w:t xml:space="preserve">2013 </w:t>
      </w:r>
      <w:r w:rsidRPr="00B34D5E">
        <w:rPr>
          <w:rFonts w:ascii="Arial" w:hAnsi="Arial" w:cs="Arial"/>
        </w:rPr>
        <w:t xml:space="preserve">je načrtovan še drug krog posvetov. V okviru </w:t>
      </w:r>
      <w:r w:rsidRPr="006A66E4">
        <w:rPr>
          <w:rFonts w:ascii="Arial" w:hAnsi="Arial" w:cs="Arial"/>
          <w:b/>
        </w:rPr>
        <w:t>Evropskega teritorialnega</w:t>
      </w:r>
      <w:r w:rsidRPr="00B34D5E">
        <w:rPr>
          <w:rFonts w:ascii="Arial" w:hAnsi="Arial" w:cs="Arial"/>
        </w:rPr>
        <w:t xml:space="preserve"> </w:t>
      </w:r>
      <w:r w:rsidRPr="006A66E4">
        <w:rPr>
          <w:rFonts w:ascii="Arial" w:hAnsi="Arial" w:cs="Arial"/>
          <w:b/>
        </w:rPr>
        <w:t>sodelovanja</w:t>
      </w:r>
      <w:r w:rsidRPr="00B34D5E">
        <w:rPr>
          <w:rFonts w:ascii="Arial" w:hAnsi="Arial" w:cs="Arial"/>
        </w:rPr>
        <w:t xml:space="preserve"> so se začela pogajanja o programih na vseh mejah, kjer je bil največji napredek v pogajanjih z Avstrijo.</w:t>
      </w:r>
    </w:p>
    <w:p w:rsidR="00D07770" w:rsidRPr="0054445F" w:rsidRDefault="00D07770" w:rsidP="00D07770">
      <w:pPr>
        <w:spacing w:after="0" w:line="240" w:lineRule="auto"/>
        <w:jc w:val="both"/>
        <w:rPr>
          <w:rFonts w:ascii="Arial" w:hAnsi="Arial" w:cs="Arial"/>
        </w:rPr>
      </w:pPr>
    </w:p>
    <w:p w:rsidR="00D149BE" w:rsidRPr="00316B2C" w:rsidRDefault="00D07770" w:rsidP="00D07770">
      <w:pPr>
        <w:spacing w:after="0" w:line="240" w:lineRule="auto"/>
        <w:rPr>
          <w:rFonts w:ascii="Arial" w:hAnsi="Arial" w:cs="Arial"/>
          <w:b/>
        </w:rPr>
      </w:pPr>
      <w:r w:rsidRPr="00316B2C">
        <w:rPr>
          <w:rFonts w:ascii="Arial" w:hAnsi="Arial" w:cs="Arial"/>
          <w:b/>
        </w:rPr>
        <w:t>Ostale uporabne informacije najdete na naslednji</w:t>
      </w:r>
      <w:r w:rsidR="00B34D5E" w:rsidRPr="00316B2C">
        <w:rPr>
          <w:rFonts w:ascii="Arial" w:hAnsi="Arial" w:cs="Arial"/>
          <w:b/>
        </w:rPr>
        <w:t>h</w:t>
      </w:r>
      <w:r w:rsidRPr="00316B2C">
        <w:rPr>
          <w:rFonts w:ascii="Arial" w:hAnsi="Arial" w:cs="Arial"/>
          <w:b/>
        </w:rPr>
        <w:t xml:space="preserve"> povezav</w:t>
      </w:r>
      <w:r w:rsidR="00B34D5E" w:rsidRPr="00316B2C">
        <w:rPr>
          <w:rFonts w:ascii="Arial" w:hAnsi="Arial" w:cs="Arial"/>
          <w:b/>
        </w:rPr>
        <w:t>ah</w:t>
      </w:r>
      <w:r w:rsidRPr="00316B2C">
        <w:rPr>
          <w:rFonts w:ascii="Arial" w:hAnsi="Arial" w:cs="Arial"/>
          <w:b/>
        </w:rPr>
        <w:t xml:space="preserve">: </w:t>
      </w:r>
    </w:p>
    <w:p w:rsidR="00D149BE" w:rsidRDefault="00D149BE" w:rsidP="00D07770">
      <w:pPr>
        <w:spacing w:after="0" w:line="240" w:lineRule="auto"/>
        <w:rPr>
          <w:rFonts w:ascii="Arial" w:hAnsi="Arial" w:cs="Arial"/>
        </w:rPr>
      </w:pPr>
    </w:p>
    <w:p w:rsidR="00D149BE" w:rsidRDefault="00D149BE" w:rsidP="00D149BE">
      <w:pPr>
        <w:spacing w:after="0" w:line="240" w:lineRule="auto"/>
        <w:rPr>
          <w:rFonts w:ascii="Arial" w:hAnsi="Arial" w:cs="Arial"/>
        </w:rPr>
      </w:pPr>
      <w:r w:rsidRPr="008407DD">
        <w:rPr>
          <w:rFonts w:ascii="Arial" w:hAnsi="Arial" w:cs="Arial"/>
        </w:rPr>
        <w:t xml:space="preserve">Stališče Evropske komisije: </w:t>
      </w:r>
      <w:hyperlink r:id="rId10" w:history="1">
        <w:r w:rsidRPr="008407DD">
          <w:rPr>
            <w:rStyle w:val="Hyperlink"/>
            <w:rFonts w:ascii="Arial" w:hAnsi="Arial" w:cs="Arial"/>
          </w:rPr>
          <w:t>https://www.google.si/url?sa=t&amp;rct=j&amp;q=&amp;esrc=s&amp;source=web&amp;cd=1&amp;cad=rja&amp;ved=0CCgQFjAA&amp;url=http%3A%2F%2Fwww.mgrt.gov.si%2Ffileadmin%2Fmgrt.gov.si%2Fpageuploads%2Fsvlr%2FKOHEZIJA%2F2014-2020%2FPredstavitev_Evropske_komisije_eng.pptx&amp;ei=RYYCUfKJNeGr0AWPuICgDQ&amp;usg=AFQjCNF7TXCMCnKebiOWOy9NLdLs326e3g&amp;bvm=bv.41524429,d.d2k</w:t>
        </w:r>
      </w:hyperlink>
    </w:p>
    <w:p w:rsidR="00D149BE" w:rsidRDefault="00D149BE" w:rsidP="00D149BE">
      <w:pPr>
        <w:spacing w:after="0" w:line="240" w:lineRule="auto"/>
        <w:rPr>
          <w:rFonts w:ascii="Arial" w:hAnsi="Arial" w:cs="Arial"/>
        </w:rPr>
      </w:pPr>
    </w:p>
    <w:p w:rsidR="00D149BE" w:rsidRPr="008407DD" w:rsidRDefault="00D149BE" w:rsidP="00D149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Izhodišča za Strategijo razvoja Slovenije: </w:t>
      </w:r>
      <w:hyperlink r:id="rId11" w:history="1">
        <w:r w:rsidRPr="008407DD">
          <w:rPr>
            <w:rStyle w:val="Hyperlink"/>
            <w:rFonts w:ascii="Arial" w:hAnsi="Arial" w:cs="Arial"/>
          </w:rPr>
          <w:t>http://www2.gov.si/upv/vladnagradiva-12.nsf/18a6b9887c33a0bdc12570e50034eb54/78717d6ac548e708c1257af3005a7a70/$FILE/SRSizhodisca1.DOC</w:t>
        </w:r>
      </w:hyperlink>
    </w:p>
    <w:p w:rsidR="00D149BE" w:rsidRDefault="00D149BE" w:rsidP="00D07770">
      <w:pPr>
        <w:spacing w:after="0" w:line="240" w:lineRule="auto"/>
        <w:rPr>
          <w:rFonts w:ascii="Arial" w:hAnsi="Arial" w:cs="Arial"/>
        </w:rPr>
      </w:pPr>
    </w:p>
    <w:p w:rsidR="00D07770" w:rsidRPr="00B34D5E" w:rsidRDefault="008407DD" w:rsidP="00D07770">
      <w:pPr>
        <w:spacing w:after="0" w:line="240" w:lineRule="auto"/>
      </w:pPr>
      <w:r>
        <w:rPr>
          <w:rFonts w:ascii="Arial" w:hAnsi="Arial" w:cs="Arial"/>
        </w:rPr>
        <w:t xml:space="preserve">Priprava Strategije razvoja Slovenije: </w:t>
      </w:r>
      <w:hyperlink r:id="rId12" w:history="1">
        <w:r w:rsidR="00E90575" w:rsidRPr="008744AF">
          <w:rPr>
            <w:rStyle w:val="Hyperlink"/>
            <w:rFonts w:ascii="Arial" w:hAnsi="Arial" w:cs="Arial"/>
          </w:rPr>
          <w:t>http://www.arhiv.svrez.gov.si/fileadmin/svez.gov.si/pageuploads/docs/Strategija_razvoja_Slovenije/SRS_dispozicija__17feb2011.doc</w:t>
        </w:r>
      </w:hyperlink>
      <w:r w:rsidR="00E90575">
        <w:rPr>
          <w:rFonts w:ascii="Arial" w:hAnsi="Arial" w:cs="Arial"/>
        </w:rPr>
        <w:t xml:space="preserve"> </w:t>
      </w:r>
    </w:p>
    <w:p w:rsidR="00D07770" w:rsidRPr="00B34D5E" w:rsidRDefault="00D07770" w:rsidP="00D07770">
      <w:pPr>
        <w:spacing w:after="0" w:line="240" w:lineRule="auto"/>
      </w:pPr>
      <w:r w:rsidRPr="00B34D5E">
        <w:t xml:space="preserve"> </w:t>
      </w:r>
    </w:p>
    <w:p w:rsidR="008407DD" w:rsidRDefault="008407DD" w:rsidP="00D07770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D07770" w:rsidRPr="0054445F" w:rsidRDefault="00D07770" w:rsidP="00D07770">
      <w:pPr>
        <w:spacing w:after="0" w:line="240" w:lineRule="auto"/>
        <w:jc w:val="both"/>
        <w:rPr>
          <w:rFonts w:ascii="Arial" w:hAnsi="Arial" w:cs="Arial"/>
        </w:rPr>
      </w:pPr>
      <w:r w:rsidRPr="0054445F">
        <w:rPr>
          <w:rFonts w:ascii="Arial" w:hAnsi="Arial" w:cs="Arial"/>
        </w:rPr>
        <w:t>Informacijo pripravila:</w:t>
      </w:r>
    </w:p>
    <w:p w:rsidR="00D07770" w:rsidRPr="0054445F" w:rsidRDefault="00D07770" w:rsidP="00D07770">
      <w:pPr>
        <w:spacing w:after="0" w:line="240" w:lineRule="auto"/>
        <w:jc w:val="both"/>
        <w:rPr>
          <w:rFonts w:ascii="Arial" w:hAnsi="Arial" w:cs="Arial"/>
        </w:rPr>
      </w:pPr>
      <w:r w:rsidRPr="0054445F">
        <w:rPr>
          <w:rFonts w:ascii="Arial" w:hAnsi="Arial" w:cs="Arial"/>
        </w:rPr>
        <w:t>Iris Koleša, SGRZ</w:t>
      </w:r>
    </w:p>
    <w:p w:rsidR="00D07770" w:rsidRPr="0054445F" w:rsidRDefault="00D07770" w:rsidP="00D07770">
      <w:pPr>
        <w:jc w:val="both"/>
        <w:rPr>
          <w:rFonts w:ascii="MS Reference Sans Serif" w:hAnsi="MS Reference Sans Serif"/>
          <w:sz w:val="20"/>
          <w:szCs w:val="20"/>
        </w:rPr>
      </w:pPr>
    </w:p>
    <w:sectPr w:rsidR="00D07770" w:rsidRPr="0054445F" w:rsidSect="0076521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70" w:rsidRDefault="00D07770" w:rsidP="00D07770">
      <w:pPr>
        <w:spacing w:after="0" w:line="240" w:lineRule="auto"/>
      </w:pPr>
      <w:r>
        <w:separator/>
      </w:r>
    </w:p>
  </w:endnote>
  <w:endnote w:type="continuationSeparator" w:id="0">
    <w:p w:rsidR="00D07770" w:rsidRDefault="00D07770" w:rsidP="00D0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982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1BF" w:rsidRDefault="000D1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1BF" w:rsidRDefault="000D1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70" w:rsidRDefault="00D07770" w:rsidP="00D07770">
      <w:pPr>
        <w:spacing w:after="0" w:line="240" w:lineRule="auto"/>
      </w:pPr>
      <w:r>
        <w:separator/>
      </w:r>
    </w:p>
  </w:footnote>
  <w:footnote w:type="continuationSeparator" w:id="0">
    <w:p w:rsidR="00D07770" w:rsidRDefault="00D07770" w:rsidP="00D07770">
      <w:pPr>
        <w:spacing w:after="0" w:line="240" w:lineRule="auto"/>
      </w:pPr>
      <w:r>
        <w:continuationSeparator/>
      </w:r>
    </w:p>
  </w:footnote>
  <w:footnote w:id="1">
    <w:p w:rsidR="00D07770" w:rsidRPr="00CD4118" w:rsidRDefault="00D07770" w:rsidP="00D07770">
      <w:pPr>
        <w:pStyle w:val="FootnoteText"/>
        <w:spacing w:after="0" w:line="240" w:lineRule="auto"/>
        <w:rPr>
          <w:rFonts w:ascii="Times New Roman" w:hAnsi="Times New Roman"/>
        </w:rPr>
      </w:pPr>
      <w:r w:rsidRPr="00CD4118">
        <w:rPr>
          <w:rStyle w:val="FootnoteReference"/>
          <w:rFonts w:ascii="Times New Roman" w:hAnsi="Times New Roman"/>
        </w:rPr>
        <w:footnoteRef/>
      </w:r>
      <w:r w:rsidRPr="00CD4118">
        <w:rPr>
          <w:rFonts w:ascii="Times New Roman" w:hAnsi="Times New Roman"/>
        </w:rPr>
        <w:t xml:space="preserve"> </w:t>
      </w:r>
      <w:hyperlink r:id="rId1" w:history="1">
        <w:r w:rsidRPr="00E50B2A">
          <w:rPr>
            <w:rStyle w:val="Hyperlink"/>
            <w:rFonts w:ascii="Arial" w:hAnsi="Arial" w:cs="Arial"/>
          </w:rPr>
          <w:t>http://www.happyplanetindex.org/explore/europe.html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5C21"/>
    <w:multiLevelType w:val="hybridMultilevel"/>
    <w:tmpl w:val="316EA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D1821"/>
    <w:multiLevelType w:val="hybridMultilevel"/>
    <w:tmpl w:val="C05C07F4"/>
    <w:lvl w:ilvl="0" w:tplc="797AD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49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161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6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02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08C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429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76E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501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F637FA"/>
    <w:multiLevelType w:val="hybridMultilevel"/>
    <w:tmpl w:val="0A304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95373"/>
    <w:multiLevelType w:val="hybridMultilevel"/>
    <w:tmpl w:val="6DAA7020"/>
    <w:lvl w:ilvl="0" w:tplc="F7229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DC98D0">
      <w:start w:val="6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8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E9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C4E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89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26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85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07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EDF3F54"/>
    <w:multiLevelType w:val="hybridMultilevel"/>
    <w:tmpl w:val="906E3402"/>
    <w:lvl w:ilvl="0" w:tplc="9B7A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70"/>
    <w:rsid w:val="000D11BF"/>
    <w:rsid w:val="00143E89"/>
    <w:rsid w:val="001940DE"/>
    <w:rsid w:val="002172F1"/>
    <w:rsid w:val="00226C2F"/>
    <w:rsid w:val="0030697E"/>
    <w:rsid w:val="00316B2C"/>
    <w:rsid w:val="0042029D"/>
    <w:rsid w:val="0054445F"/>
    <w:rsid w:val="006209E6"/>
    <w:rsid w:val="006A66E4"/>
    <w:rsid w:val="006B541F"/>
    <w:rsid w:val="007361DB"/>
    <w:rsid w:val="00765218"/>
    <w:rsid w:val="007F1374"/>
    <w:rsid w:val="008140B4"/>
    <w:rsid w:val="008407DD"/>
    <w:rsid w:val="008A7ACE"/>
    <w:rsid w:val="009270B9"/>
    <w:rsid w:val="009D08B5"/>
    <w:rsid w:val="00A30687"/>
    <w:rsid w:val="00A54DBD"/>
    <w:rsid w:val="00AB4873"/>
    <w:rsid w:val="00AE2C4A"/>
    <w:rsid w:val="00B34D5E"/>
    <w:rsid w:val="00BC16A4"/>
    <w:rsid w:val="00C7135F"/>
    <w:rsid w:val="00D07770"/>
    <w:rsid w:val="00D149BE"/>
    <w:rsid w:val="00E50B2A"/>
    <w:rsid w:val="00E90575"/>
    <w:rsid w:val="00FB4195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70"/>
    <w:rPr>
      <w:rFonts w:ascii="Calibri" w:eastAsia="Calibri" w:hAnsi="Calibri" w:cs="Times New Roman"/>
      <w:lang w:val="sl-SI"/>
    </w:rPr>
  </w:style>
  <w:style w:type="paragraph" w:styleId="Heading2">
    <w:name w:val="heading 2"/>
    <w:basedOn w:val="Normal"/>
    <w:next w:val="Normal"/>
    <w:link w:val="Heading2Char"/>
    <w:qFormat/>
    <w:rsid w:val="00D077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7770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styleId="Hyperlink">
    <w:name w:val="Hyperlink"/>
    <w:uiPriority w:val="99"/>
    <w:rsid w:val="00D0777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gn-justify">
    <w:name w:val="align-justify"/>
    <w:basedOn w:val="Normal"/>
    <w:rsid w:val="00D0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,fn,Char Ch"/>
    <w:basedOn w:val="Normal"/>
    <w:link w:val="FootnoteTextChar"/>
    <w:uiPriority w:val="99"/>
    <w:unhideWhenUsed/>
    <w:rsid w:val="00D07770"/>
    <w:rPr>
      <w:sz w:val="20"/>
      <w:szCs w:val="20"/>
    </w:rPr>
  </w:style>
  <w:style w:type="character" w:customStyle="1" w:styleId="FootnoteTextChar">
    <w:name w:val="Footnote Text Char"/>
    <w:aliases w:val="Sprotna opomba-besedilo Char,Char Char Char1,Char Char Char Char Char,Char Char Char Char1,Sprotna opomba - besedilo Znak1 Char,Sprotna opomba - besedilo Znak Znak2 Char,Sprotna opomba - besedilo Znak1 Znak Znak1 Char,fn Char"/>
    <w:basedOn w:val="DefaultParagraphFont"/>
    <w:link w:val="FootnoteText"/>
    <w:uiPriority w:val="99"/>
    <w:rsid w:val="00D07770"/>
    <w:rPr>
      <w:rFonts w:ascii="Calibri" w:eastAsia="Calibri" w:hAnsi="Calibri" w:cs="Times New Roman"/>
      <w:sz w:val="20"/>
      <w:szCs w:val="20"/>
      <w:lang w:val="sl-SI"/>
    </w:rPr>
  </w:style>
  <w:style w:type="character" w:styleId="FootnoteReference">
    <w:name w:val="footnote reference"/>
    <w:aliases w:val="Footnote symbol,Fussnota,Footnote"/>
    <w:basedOn w:val="DefaultParagraphFont"/>
    <w:uiPriority w:val="99"/>
    <w:unhideWhenUsed/>
    <w:qFormat/>
    <w:rsid w:val="00D077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70"/>
    <w:rPr>
      <w:rFonts w:ascii="Tahoma" w:eastAsia="Calibri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AB48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7D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F"/>
    <w:rPr>
      <w:rFonts w:ascii="Calibri" w:eastAsia="Calibri" w:hAnsi="Calibri" w:cs="Times New Roman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0D1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F"/>
    <w:rPr>
      <w:rFonts w:ascii="Calibri" w:eastAsia="Calibri" w:hAnsi="Calibri" w:cs="Times New Roman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70"/>
    <w:rPr>
      <w:rFonts w:ascii="Calibri" w:eastAsia="Calibri" w:hAnsi="Calibri" w:cs="Times New Roman"/>
      <w:lang w:val="sl-SI"/>
    </w:rPr>
  </w:style>
  <w:style w:type="paragraph" w:styleId="Heading2">
    <w:name w:val="heading 2"/>
    <w:basedOn w:val="Normal"/>
    <w:next w:val="Normal"/>
    <w:link w:val="Heading2Char"/>
    <w:qFormat/>
    <w:rsid w:val="00D077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7770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styleId="Hyperlink">
    <w:name w:val="Hyperlink"/>
    <w:uiPriority w:val="99"/>
    <w:rsid w:val="00D0777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gn-justify">
    <w:name w:val="align-justify"/>
    <w:basedOn w:val="Normal"/>
    <w:rsid w:val="00D0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,fn,Char Ch"/>
    <w:basedOn w:val="Normal"/>
    <w:link w:val="FootnoteTextChar"/>
    <w:uiPriority w:val="99"/>
    <w:unhideWhenUsed/>
    <w:rsid w:val="00D07770"/>
    <w:rPr>
      <w:sz w:val="20"/>
      <w:szCs w:val="20"/>
    </w:rPr>
  </w:style>
  <w:style w:type="character" w:customStyle="1" w:styleId="FootnoteTextChar">
    <w:name w:val="Footnote Text Char"/>
    <w:aliases w:val="Sprotna opomba-besedilo Char,Char Char Char1,Char Char Char Char Char,Char Char Char Char1,Sprotna opomba - besedilo Znak1 Char,Sprotna opomba - besedilo Znak Znak2 Char,Sprotna opomba - besedilo Znak1 Znak Znak1 Char,fn Char"/>
    <w:basedOn w:val="DefaultParagraphFont"/>
    <w:link w:val="FootnoteText"/>
    <w:uiPriority w:val="99"/>
    <w:rsid w:val="00D07770"/>
    <w:rPr>
      <w:rFonts w:ascii="Calibri" w:eastAsia="Calibri" w:hAnsi="Calibri" w:cs="Times New Roman"/>
      <w:sz w:val="20"/>
      <w:szCs w:val="20"/>
      <w:lang w:val="sl-SI"/>
    </w:rPr>
  </w:style>
  <w:style w:type="character" w:styleId="FootnoteReference">
    <w:name w:val="footnote reference"/>
    <w:aliases w:val="Footnote symbol,Fussnota,Footnote"/>
    <w:basedOn w:val="DefaultParagraphFont"/>
    <w:uiPriority w:val="99"/>
    <w:unhideWhenUsed/>
    <w:qFormat/>
    <w:rsid w:val="00D077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70"/>
    <w:rPr>
      <w:rFonts w:ascii="Tahoma" w:eastAsia="Calibri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AB48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7D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F"/>
    <w:rPr>
      <w:rFonts w:ascii="Calibri" w:eastAsia="Calibri" w:hAnsi="Calibri" w:cs="Times New Roman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0D1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F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iv.svrez.gov.si/fileadmin/svez.gov.si/pageuploads/docs/Strategija_razvoja_Slovenije/SRS_dispozicija__17feb201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2.gov.si/upv/vladnagradiva-12.nsf/18a6b9887c33a0bdc12570e50034eb54/78717d6ac548e708c1257af3005a7a70/$FILE/SRSizhodisca1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si/url?sa=t&amp;rct=j&amp;q=&amp;esrc=s&amp;source=web&amp;cd=1&amp;cad=rja&amp;ved=0CCgQFjAA&amp;url=http%3A%2F%2Fwww.mgrt.gov.si%2Ffileadmin%2Fmgrt.gov.si%2Fpageuploads%2Fsvlr%2FKOHEZIJA%2F2014-2020%2FPredstavitev_Evropske_komisije_eng.pptx&amp;ei=RYYCUfKJNeGr0AWPuICgDQ&amp;usg=AFQjCNF7TXCMCnKebiOWOy9NLdLs326e3g&amp;bvm=bv.41524429,d.d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ppyplanetindex.org/explore/euro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9239-0850-45F2-969E-2980B56C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Kolesa</dc:creator>
  <cp:lastModifiedBy>Boris Cizelj</cp:lastModifiedBy>
  <cp:revision>4</cp:revision>
  <cp:lastPrinted>2013-02-11T12:17:00Z</cp:lastPrinted>
  <dcterms:created xsi:type="dcterms:W3CDTF">2013-01-30T14:08:00Z</dcterms:created>
  <dcterms:modified xsi:type="dcterms:W3CDTF">2013-02-11T12:17:00Z</dcterms:modified>
</cp:coreProperties>
</file>