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C20E5" w14:textId="77777777" w:rsidR="004A25E1" w:rsidRPr="00467345" w:rsidRDefault="004A25E1" w:rsidP="004A25E1">
      <w:pPr>
        <w:tabs>
          <w:tab w:val="left" w:pos="2520"/>
          <w:tab w:val="left" w:pos="2700"/>
          <w:tab w:val="left" w:pos="3120"/>
        </w:tabs>
        <w:spacing w:after="0"/>
        <w:jc w:val="center"/>
      </w:pPr>
      <w:r w:rsidRPr="00083714">
        <w:rPr>
          <w:noProof/>
          <w:lang w:eastAsia="sl-SI"/>
        </w:rPr>
        <w:drawing>
          <wp:inline distT="0" distB="0" distL="0" distR="0" wp14:anchorId="77725181" wp14:editId="77ADAC42">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0536C843" w14:textId="77777777" w:rsidR="004A25E1" w:rsidRPr="00083714" w:rsidRDefault="004A25E1" w:rsidP="004A25E1">
      <w:pPr>
        <w:pStyle w:val="Heading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14:paraId="21AD685E" w14:textId="77777777" w:rsidR="004A25E1" w:rsidRPr="00083714" w:rsidRDefault="004A25E1" w:rsidP="004A25E1">
      <w:pPr>
        <w:pBdr>
          <w:bottom w:val="single" w:sz="6" w:space="1" w:color="auto"/>
        </w:pBdr>
        <w:tabs>
          <w:tab w:val="left" w:pos="3120"/>
        </w:tabs>
        <w:spacing w:after="0"/>
        <w:jc w:val="center"/>
        <w:rPr>
          <w:sz w:val="16"/>
          <w:szCs w:val="16"/>
        </w:rPr>
      </w:pPr>
    </w:p>
    <w:p w14:paraId="14899034" w14:textId="77777777" w:rsidR="004A25E1" w:rsidRDefault="004A25E1" w:rsidP="004A25E1">
      <w:pPr>
        <w:tabs>
          <w:tab w:val="left" w:pos="3120"/>
        </w:tabs>
        <w:spacing w:after="0"/>
        <w:rPr>
          <w:b/>
        </w:rPr>
      </w:pPr>
      <w:r w:rsidRPr="00083714">
        <w:rPr>
          <w:b/>
        </w:rPr>
        <w:tab/>
      </w:r>
    </w:p>
    <w:p w14:paraId="7C6DDB40" w14:textId="77777777" w:rsidR="004A25E1" w:rsidRDefault="004A25E1" w:rsidP="004A25E1">
      <w:pPr>
        <w:tabs>
          <w:tab w:val="left" w:pos="3120"/>
        </w:tabs>
        <w:spacing w:after="0"/>
        <w:jc w:val="center"/>
        <w:rPr>
          <w:b/>
        </w:rPr>
      </w:pPr>
      <w:r>
        <w:rPr>
          <w:b/>
        </w:rPr>
        <w:t xml:space="preserve">Občasna informacija članom 96 </w:t>
      </w:r>
      <w:r w:rsidRPr="00083714">
        <w:rPr>
          <w:b/>
        </w:rPr>
        <w:t>– 20</w:t>
      </w:r>
      <w:r>
        <w:rPr>
          <w:b/>
        </w:rPr>
        <w:t>21</w:t>
      </w:r>
    </w:p>
    <w:p w14:paraId="1D812794" w14:textId="77777777" w:rsidR="004A25E1" w:rsidRDefault="004A25E1" w:rsidP="004A25E1">
      <w:pPr>
        <w:tabs>
          <w:tab w:val="left" w:pos="3120"/>
        </w:tabs>
        <w:spacing w:after="0"/>
        <w:jc w:val="center"/>
        <w:rPr>
          <w:b/>
        </w:rPr>
      </w:pPr>
    </w:p>
    <w:p w14:paraId="7ED82005" w14:textId="77777777" w:rsidR="004A25E1" w:rsidRDefault="004A25E1" w:rsidP="004A25E1">
      <w:pPr>
        <w:tabs>
          <w:tab w:val="left" w:pos="3120"/>
        </w:tabs>
        <w:spacing w:after="0"/>
        <w:jc w:val="center"/>
        <w:rPr>
          <w:b/>
        </w:rPr>
      </w:pPr>
      <w:r>
        <w:rPr>
          <w:b/>
        </w:rPr>
        <w:t xml:space="preserve">14. junij </w:t>
      </w:r>
      <w:r w:rsidRPr="00083714">
        <w:rPr>
          <w:b/>
        </w:rPr>
        <w:t xml:space="preserve"> 20</w:t>
      </w:r>
      <w:r>
        <w:rPr>
          <w:b/>
        </w:rPr>
        <w:t>21</w:t>
      </w:r>
    </w:p>
    <w:p w14:paraId="4451560E" w14:textId="77777777" w:rsidR="004A25E1" w:rsidRPr="00050C1F" w:rsidRDefault="004A25E1" w:rsidP="004A25E1">
      <w:pPr>
        <w:tabs>
          <w:tab w:val="left" w:pos="3120"/>
        </w:tabs>
        <w:spacing w:after="0"/>
        <w:jc w:val="center"/>
        <w:rPr>
          <w:b/>
        </w:rPr>
      </w:pPr>
    </w:p>
    <w:p w14:paraId="7F5F22D6" w14:textId="6CAD804C" w:rsidR="004353D5" w:rsidRDefault="004A25E1" w:rsidP="004A25E1">
      <w:pPr>
        <w:spacing w:after="0"/>
        <w:jc w:val="center"/>
        <w:rPr>
          <w:b/>
          <w:color w:val="993300"/>
          <w:sz w:val="32"/>
          <w:szCs w:val="32"/>
        </w:rPr>
      </w:pPr>
      <w:r>
        <w:rPr>
          <w:b/>
          <w:color w:val="993300"/>
          <w:sz w:val="32"/>
          <w:szCs w:val="32"/>
        </w:rPr>
        <w:t>Sprejeta je uredba o Evropskem socialnem skladu plus (ES</w:t>
      </w:r>
      <w:r w:rsidR="00367B3B">
        <w:rPr>
          <w:b/>
          <w:color w:val="993300"/>
          <w:sz w:val="32"/>
          <w:szCs w:val="32"/>
        </w:rPr>
        <w:t>S</w:t>
      </w:r>
      <w:r>
        <w:rPr>
          <w:b/>
          <w:color w:val="993300"/>
          <w:sz w:val="32"/>
          <w:szCs w:val="32"/>
        </w:rPr>
        <w:t>+)</w:t>
      </w:r>
    </w:p>
    <w:p w14:paraId="7FC85E14" w14:textId="77777777" w:rsidR="004A25E1" w:rsidRPr="004A25E1" w:rsidRDefault="004A25E1" w:rsidP="004A25E1">
      <w:pPr>
        <w:spacing w:after="0"/>
        <w:jc w:val="center"/>
        <w:rPr>
          <w:rFonts w:ascii="Arial" w:hAnsi="Arial"/>
          <w:b/>
          <w:i/>
        </w:rPr>
      </w:pPr>
    </w:p>
    <w:p w14:paraId="44CE2CA9" w14:textId="7DB87134" w:rsidR="005945A2" w:rsidRDefault="005945A2" w:rsidP="004A25E1">
      <w:pPr>
        <w:spacing w:after="0"/>
        <w:jc w:val="both"/>
        <w:rPr>
          <w:rFonts w:ascii="Arial" w:hAnsi="Arial" w:cs="Arial"/>
          <w:b/>
          <w:i/>
        </w:rPr>
      </w:pPr>
      <w:r w:rsidRPr="00B15096">
        <w:rPr>
          <w:rFonts w:ascii="Arial" w:hAnsi="Arial" w:cs="Arial"/>
          <w:b/>
          <w:i/>
        </w:rPr>
        <w:t>Sprejeta je uredba o Evropskem socialnem skladu plus (ES</w:t>
      </w:r>
      <w:r w:rsidR="00367B3B">
        <w:rPr>
          <w:rFonts w:ascii="Arial" w:hAnsi="Arial" w:cs="Arial"/>
          <w:b/>
          <w:i/>
        </w:rPr>
        <w:t>S</w:t>
      </w:r>
      <w:r w:rsidRPr="00B15096">
        <w:rPr>
          <w:rFonts w:ascii="Arial" w:hAnsi="Arial" w:cs="Arial"/>
          <w:b/>
          <w:i/>
        </w:rPr>
        <w:t>+) v vrednosti 99,3 milijarde evrov (v tekočih cenah). Države članice bodo lahko ta sredstva porabljale za ustvarjanje novih in boljših delovnih mest s poštenimi delovnimi pogoji, izboljševanje dostopa do zaposlitev, usposabljanje ljudi za znanja in spretnosti, podporo najranljivejšim skupinam ter za zeleni in digitalni prehod. Člani lahko dobijo več informacij na SBRA.</w:t>
      </w:r>
    </w:p>
    <w:p w14:paraId="349431ED" w14:textId="77777777" w:rsidR="00E45B9B" w:rsidRPr="00B15096" w:rsidRDefault="00E45B9B" w:rsidP="004A25E1">
      <w:pPr>
        <w:spacing w:after="0"/>
        <w:jc w:val="both"/>
        <w:rPr>
          <w:rFonts w:ascii="Arial" w:hAnsi="Arial" w:cs="Arial"/>
          <w:b/>
          <w:i/>
        </w:rPr>
      </w:pPr>
    </w:p>
    <w:p w14:paraId="344C2578" w14:textId="77777777" w:rsidR="00F12F82" w:rsidRPr="00B15096" w:rsidRDefault="00A55379" w:rsidP="00B15096">
      <w:pPr>
        <w:jc w:val="both"/>
        <w:rPr>
          <w:rFonts w:ascii="Arial" w:hAnsi="Arial" w:cs="Arial"/>
          <w:sz w:val="20"/>
          <w:szCs w:val="20"/>
        </w:rPr>
      </w:pPr>
      <w:r w:rsidRPr="00B15096">
        <w:rPr>
          <w:rFonts w:ascii="Arial" w:hAnsi="Arial" w:cs="Arial"/>
          <w:sz w:val="20"/>
          <w:szCs w:val="20"/>
        </w:rPr>
        <w:t>Novi Evropski socialni sklad plus vključuje nekdanji Evropski socialni sklad, Pobudo za zaposlovanje mladih (YEI), Sklad za evropsko pomoč najbolj ogroženim (FEAD) in program EU za zaposlovanje in socialne inovacije (EaSI).</w:t>
      </w:r>
      <w:r w:rsidR="00F12F82" w:rsidRPr="00B15096">
        <w:rPr>
          <w:rFonts w:ascii="Arial" w:hAnsi="Arial" w:cs="Arial"/>
          <w:sz w:val="20"/>
          <w:szCs w:val="20"/>
        </w:rPr>
        <w:t xml:space="preserve"> </w:t>
      </w:r>
      <w:r w:rsidRPr="00B15096">
        <w:rPr>
          <w:rFonts w:ascii="Arial" w:hAnsi="Arial" w:cs="Arial"/>
          <w:sz w:val="20"/>
          <w:szCs w:val="20"/>
        </w:rPr>
        <w:t>Za socialne inovacije, socialno podjetništvo in čezmejno mobilnost delovne sile bo v finančnem obdobju 2021-2027 prek razpisov  na voljo 676 milijonov evrov.</w:t>
      </w:r>
    </w:p>
    <w:p w14:paraId="6846344C" w14:textId="77777777" w:rsidR="00312E21" w:rsidRPr="00B15096" w:rsidRDefault="00F12F82" w:rsidP="00B15096">
      <w:pPr>
        <w:jc w:val="both"/>
        <w:rPr>
          <w:rFonts w:ascii="Arial" w:hAnsi="Arial" w:cs="Arial"/>
          <w:sz w:val="20"/>
          <w:szCs w:val="20"/>
        </w:rPr>
      </w:pPr>
      <w:r w:rsidRPr="00B15096">
        <w:rPr>
          <w:rFonts w:ascii="Arial" w:hAnsi="Arial" w:cs="Arial"/>
          <w:sz w:val="20"/>
          <w:szCs w:val="20"/>
        </w:rPr>
        <w:t xml:space="preserve">Evropska komisija </w:t>
      </w:r>
      <w:r w:rsidR="00A55379" w:rsidRPr="00B15096">
        <w:rPr>
          <w:rFonts w:ascii="Arial" w:hAnsi="Arial" w:cs="Arial"/>
          <w:sz w:val="20"/>
          <w:szCs w:val="20"/>
        </w:rPr>
        <w:t xml:space="preserve"> </w:t>
      </w:r>
      <w:r w:rsidRPr="00B15096">
        <w:rPr>
          <w:rFonts w:ascii="Arial" w:hAnsi="Arial" w:cs="Arial"/>
          <w:sz w:val="20"/>
          <w:szCs w:val="20"/>
        </w:rPr>
        <w:t>med projekti, ki so jih v državah članicah v prejšnjem finančnem obdobju izvedli s sredstvi iz Evropskega socialnega sklada, izpostavlja češki projekt SYPO, ki je spletna platforma za usposabljanje učiteljev. V Grčiji so s sredstvi iz Evropskega socialnega sklada vzpostavili nacionalni program vajeništva prek katerega je 11 tisoč mladih pridobilo strokovna znanja, nadgradilo svojo izobrazbo in kot vajenci pridobilo delovne izkušnje.</w:t>
      </w:r>
    </w:p>
    <w:p w14:paraId="6851414A" w14:textId="77777777" w:rsidR="00F12F82" w:rsidRPr="00B15096" w:rsidRDefault="00F12F82" w:rsidP="00B15096">
      <w:pPr>
        <w:jc w:val="both"/>
        <w:rPr>
          <w:rFonts w:ascii="Arial" w:hAnsi="Arial" w:cs="Arial"/>
          <w:sz w:val="20"/>
          <w:szCs w:val="20"/>
        </w:rPr>
      </w:pPr>
      <w:r w:rsidRPr="00B15096">
        <w:rPr>
          <w:rFonts w:ascii="Arial" w:hAnsi="Arial" w:cs="Arial"/>
          <w:sz w:val="20"/>
          <w:szCs w:val="20"/>
        </w:rPr>
        <w:t>Uredba bo začela veljati dvajseti dan po objavi v uradnem listu EU.</w:t>
      </w:r>
    </w:p>
    <w:p w14:paraId="1042B37D" w14:textId="77777777" w:rsidR="00312E21" w:rsidRPr="00B15096" w:rsidRDefault="00312E21" w:rsidP="00B15096">
      <w:pPr>
        <w:jc w:val="both"/>
        <w:rPr>
          <w:rFonts w:ascii="Arial" w:hAnsi="Arial" w:cs="Arial"/>
          <w:b/>
          <w:sz w:val="20"/>
          <w:szCs w:val="20"/>
        </w:rPr>
      </w:pPr>
      <w:r w:rsidRPr="00B15096">
        <w:rPr>
          <w:rFonts w:ascii="Arial" w:hAnsi="Arial" w:cs="Arial"/>
          <w:b/>
          <w:sz w:val="20"/>
          <w:szCs w:val="20"/>
        </w:rPr>
        <w:t>Koristne informacije</w:t>
      </w:r>
      <w:r w:rsidR="00F12F82" w:rsidRPr="00B15096">
        <w:rPr>
          <w:rFonts w:ascii="Arial" w:hAnsi="Arial" w:cs="Arial"/>
          <w:b/>
          <w:sz w:val="20"/>
          <w:szCs w:val="20"/>
        </w:rPr>
        <w:t>:</w:t>
      </w:r>
    </w:p>
    <w:p w14:paraId="69EC82B2" w14:textId="77777777" w:rsidR="00F12F82" w:rsidRPr="00B15096" w:rsidRDefault="00F12F82" w:rsidP="00B15096">
      <w:pPr>
        <w:pStyle w:val="ListParagraph"/>
        <w:numPr>
          <w:ilvl w:val="0"/>
          <w:numId w:val="1"/>
        </w:numPr>
        <w:jc w:val="both"/>
        <w:rPr>
          <w:rFonts w:ascii="Arial" w:hAnsi="Arial" w:cs="Arial"/>
          <w:sz w:val="20"/>
          <w:szCs w:val="20"/>
        </w:rPr>
      </w:pPr>
      <w:r w:rsidRPr="00B15096">
        <w:rPr>
          <w:rFonts w:ascii="Arial" w:hAnsi="Arial" w:cs="Arial"/>
          <w:sz w:val="20"/>
          <w:szCs w:val="20"/>
        </w:rPr>
        <w:t>Resolucija Evropskega parlamenta:</w:t>
      </w:r>
    </w:p>
    <w:p w14:paraId="315EE106" w14:textId="77777777" w:rsidR="00F12F82" w:rsidRPr="00B15096" w:rsidRDefault="00367B3B" w:rsidP="00B15096">
      <w:pPr>
        <w:pStyle w:val="ListParagraph"/>
        <w:numPr>
          <w:ilvl w:val="0"/>
          <w:numId w:val="1"/>
        </w:numPr>
        <w:jc w:val="both"/>
        <w:rPr>
          <w:rFonts w:ascii="Arial" w:hAnsi="Arial" w:cs="Arial"/>
          <w:sz w:val="20"/>
          <w:szCs w:val="20"/>
        </w:rPr>
      </w:pPr>
      <w:hyperlink r:id="rId6" w:history="1">
        <w:r w:rsidR="00F12F82" w:rsidRPr="00B15096">
          <w:rPr>
            <w:rStyle w:val="Hyperlink"/>
            <w:rFonts w:ascii="Arial" w:hAnsi="Arial" w:cs="Arial"/>
            <w:sz w:val="20"/>
            <w:szCs w:val="20"/>
          </w:rPr>
          <w:t>https://www.europarl.europa.eu/doceo/document/TA-9-2021-0272_SL.html</w:t>
        </w:r>
      </w:hyperlink>
    </w:p>
    <w:p w14:paraId="1FEB6E69" w14:textId="35A51D92" w:rsidR="00F12F82" w:rsidRPr="00B15096" w:rsidRDefault="00F12F82" w:rsidP="00B15096">
      <w:pPr>
        <w:pStyle w:val="ListParagraph"/>
        <w:numPr>
          <w:ilvl w:val="0"/>
          <w:numId w:val="1"/>
        </w:numPr>
        <w:jc w:val="both"/>
        <w:rPr>
          <w:rFonts w:ascii="Arial" w:hAnsi="Arial" w:cs="Arial"/>
          <w:sz w:val="20"/>
          <w:szCs w:val="20"/>
        </w:rPr>
      </w:pPr>
      <w:r w:rsidRPr="00B15096">
        <w:rPr>
          <w:rFonts w:ascii="Arial" w:hAnsi="Arial" w:cs="Arial"/>
          <w:sz w:val="20"/>
          <w:szCs w:val="20"/>
        </w:rPr>
        <w:t>Spletna stran z informacijami o ES</w:t>
      </w:r>
      <w:r w:rsidR="00367B3B">
        <w:rPr>
          <w:rFonts w:ascii="Arial" w:hAnsi="Arial" w:cs="Arial"/>
          <w:sz w:val="20"/>
          <w:szCs w:val="20"/>
        </w:rPr>
        <w:t>S</w:t>
      </w:r>
      <w:r w:rsidRPr="00B15096">
        <w:rPr>
          <w:rFonts w:ascii="Arial" w:hAnsi="Arial" w:cs="Arial"/>
          <w:sz w:val="20"/>
          <w:szCs w:val="20"/>
        </w:rPr>
        <w:t>+:</w:t>
      </w:r>
    </w:p>
    <w:p w14:paraId="25F773B5" w14:textId="77777777" w:rsidR="00F12F82" w:rsidRDefault="00367B3B" w:rsidP="00B15096">
      <w:pPr>
        <w:pStyle w:val="ListParagraph"/>
        <w:numPr>
          <w:ilvl w:val="0"/>
          <w:numId w:val="1"/>
        </w:numPr>
        <w:jc w:val="both"/>
        <w:rPr>
          <w:rFonts w:ascii="Arial" w:hAnsi="Arial" w:cs="Arial"/>
          <w:sz w:val="20"/>
          <w:szCs w:val="20"/>
        </w:rPr>
      </w:pPr>
      <w:hyperlink r:id="rId7" w:history="1">
        <w:r w:rsidR="00F12F82" w:rsidRPr="00B15096">
          <w:rPr>
            <w:rStyle w:val="Hyperlink"/>
            <w:rFonts w:ascii="Arial" w:hAnsi="Arial" w:cs="Arial"/>
            <w:sz w:val="20"/>
            <w:szCs w:val="20"/>
          </w:rPr>
          <w:t>https://ec.europa.eu/social/main.jsp?catId=325&amp;langId=sl</w:t>
        </w:r>
      </w:hyperlink>
    </w:p>
    <w:p w14:paraId="211EBE1F" w14:textId="77777777" w:rsidR="000A1722" w:rsidRDefault="00205DD3" w:rsidP="00B15096">
      <w:pPr>
        <w:pStyle w:val="ListParagraph"/>
        <w:numPr>
          <w:ilvl w:val="0"/>
          <w:numId w:val="1"/>
        </w:numPr>
        <w:jc w:val="both"/>
        <w:rPr>
          <w:rFonts w:ascii="Arial" w:hAnsi="Arial" w:cs="Arial"/>
          <w:sz w:val="20"/>
          <w:szCs w:val="20"/>
        </w:rPr>
      </w:pPr>
      <w:r>
        <w:rPr>
          <w:rFonts w:ascii="Arial" w:hAnsi="Arial" w:cs="Arial"/>
          <w:sz w:val="20"/>
          <w:szCs w:val="20"/>
        </w:rPr>
        <w:t>Informacije o češkem projektu</w:t>
      </w:r>
      <w:r w:rsidR="000A1722">
        <w:rPr>
          <w:rFonts w:ascii="Arial" w:hAnsi="Arial" w:cs="Arial"/>
          <w:sz w:val="20"/>
          <w:szCs w:val="20"/>
        </w:rPr>
        <w:t xml:space="preserve"> SYPO:</w:t>
      </w:r>
    </w:p>
    <w:p w14:paraId="33707D29" w14:textId="77777777" w:rsidR="000A1722" w:rsidRPr="00B15096" w:rsidRDefault="00367B3B" w:rsidP="00B15096">
      <w:pPr>
        <w:pStyle w:val="ListParagraph"/>
        <w:numPr>
          <w:ilvl w:val="0"/>
          <w:numId w:val="1"/>
        </w:numPr>
        <w:jc w:val="both"/>
        <w:rPr>
          <w:rFonts w:ascii="Arial" w:hAnsi="Arial" w:cs="Arial"/>
          <w:sz w:val="20"/>
          <w:szCs w:val="20"/>
        </w:rPr>
      </w:pPr>
      <w:hyperlink r:id="rId8" w:history="1">
        <w:r w:rsidR="000A1722" w:rsidRPr="00655DE8">
          <w:rPr>
            <w:rStyle w:val="Hyperlink"/>
            <w:rFonts w:ascii="Arial" w:hAnsi="Arial" w:cs="Arial"/>
            <w:sz w:val="20"/>
            <w:szCs w:val="20"/>
          </w:rPr>
          <w:t>https://ec.europa.eu/esf/main.jsp?catId=67&amp;langId=en&amp;newsId=9662</w:t>
        </w:r>
      </w:hyperlink>
      <w:r w:rsidR="000A1722">
        <w:rPr>
          <w:rFonts w:ascii="Arial" w:hAnsi="Arial" w:cs="Arial"/>
          <w:sz w:val="20"/>
          <w:szCs w:val="20"/>
        </w:rPr>
        <w:t xml:space="preserve"> </w:t>
      </w:r>
    </w:p>
    <w:p w14:paraId="7D7E55D3" w14:textId="77777777" w:rsidR="00F12F82" w:rsidRPr="00B15096" w:rsidRDefault="00F12F82" w:rsidP="00B15096">
      <w:pPr>
        <w:spacing w:after="0"/>
        <w:jc w:val="both"/>
        <w:rPr>
          <w:rFonts w:ascii="Arial" w:hAnsi="Arial" w:cs="Arial"/>
          <w:sz w:val="20"/>
          <w:szCs w:val="20"/>
        </w:rPr>
      </w:pPr>
      <w:r w:rsidRPr="00B15096">
        <w:rPr>
          <w:rFonts w:ascii="Arial" w:hAnsi="Arial" w:cs="Arial"/>
          <w:sz w:val="20"/>
          <w:szCs w:val="20"/>
        </w:rPr>
        <w:t>Pripravila:</w:t>
      </w:r>
    </w:p>
    <w:p w14:paraId="72AF67E0" w14:textId="77777777" w:rsidR="00F12F82" w:rsidRPr="00B15096" w:rsidRDefault="00F12F82" w:rsidP="00B15096">
      <w:pPr>
        <w:spacing w:after="0"/>
        <w:jc w:val="both"/>
        <w:rPr>
          <w:rFonts w:ascii="Arial" w:hAnsi="Arial" w:cs="Arial"/>
          <w:sz w:val="20"/>
          <w:szCs w:val="20"/>
        </w:rPr>
      </w:pPr>
      <w:r w:rsidRPr="00B15096">
        <w:rPr>
          <w:rFonts w:ascii="Arial" w:hAnsi="Arial" w:cs="Arial"/>
          <w:sz w:val="20"/>
          <w:szCs w:val="20"/>
        </w:rPr>
        <w:t>Darja Kocbek</w:t>
      </w:r>
    </w:p>
    <w:p w14:paraId="4E30EFB0" w14:textId="77777777" w:rsidR="00F12F82" w:rsidRPr="00A55379" w:rsidRDefault="00F12F82" w:rsidP="00B15096">
      <w:pPr>
        <w:spacing w:after="0"/>
      </w:pPr>
    </w:p>
    <w:p w14:paraId="466821C2" w14:textId="77777777" w:rsidR="00A55379" w:rsidRPr="00A55379" w:rsidRDefault="00A55379" w:rsidP="00A55379"/>
    <w:p w14:paraId="23E3DBC1" w14:textId="77777777" w:rsidR="0089494E" w:rsidRPr="00A55379" w:rsidRDefault="0089494E" w:rsidP="00A55379"/>
    <w:sectPr w:rsidR="0089494E" w:rsidRPr="00A55379" w:rsidSect="00894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75B26"/>
    <w:multiLevelType w:val="hybridMultilevel"/>
    <w:tmpl w:val="1AD4B1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945A2"/>
    <w:rsid w:val="000A1722"/>
    <w:rsid w:val="00205DD3"/>
    <w:rsid w:val="00312E21"/>
    <w:rsid w:val="00367B3B"/>
    <w:rsid w:val="004353D5"/>
    <w:rsid w:val="004A25E1"/>
    <w:rsid w:val="005945A2"/>
    <w:rsid w:val="0089494E"/>
    <w:rsid w:val="00A55379"/>
    <w:rsid w:val="00AF4448"/>
    <w:rsid w:val="00B15096"/>
    <w:rsid w:val="00E45B9B"/>
    <w:rsid w:val="00F12F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1B1D"/>
  <w15:docId w15:val="{8845C3BC-40CF-434E-AF82-CF3C0477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94E"/>
  </w:style>
  <w:style w:type="paragraph" w:styleId="Heading2">
    <w:name w:val="heading 2"/>
    <w:basedOn w:val="Normal"/>
    <w:link w:val="Heading2Char"/>
    <w:uiPriority w:val="9"/>
    <w:qFormat/>
    <w:rsid w:val="004A25E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581204547msonospacing">
    <w:name w:val="yiv3581204547msonospacing"/>
    <w:basedOn w:val="Normal"/>
    <w:rsid w:val="005945A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5945A2"/>
    <w:rPr>
      <w:color w:val="0000FF"/>
      <w:u w:val="single"/>
    </w:rPr>
  </w:style>
  <w:style w:type="paragraph" w:styleId="HTMLPreformatted">
    <w:name w:val="HTML Preformatted"/>
    <w:basedOn w:val="Normal"/>
    <w:link w:val="HTMLPreformattedChar"/>
    <w:uiPriority w:val="99"/>
    <w:semiHidden/>
    <w:unhideWhenUsed/>
    <w:rsid w:val="00A55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semiHidden/>
    <w:rsid w:val="00A55379"/>
    <w:rPr>
      <w:rFonts w:ascii="Courier New" w:eastAsia="Times New Roman" w:hAnsi="Courier New" w:cs="Courier New"/>
      <w:sz w:val="20"/>
      <w:szCs w:val="20"/>
      <w:lang w:eastAsia="sl-SI"/>
    </w:rPr>
  </w:style>
  <w:style w:type="character" w:customStyle="1" w:styleId="y2iqfc">
    <w:name w:val="y2iqfc"/>
    <w:basedOn w:val="DefaultParagraphFont"/>
    <w:rsid w:val="00A55379"/>
  </w:style>
  <w:style w:type="paragraph" w:styleId="ListParagraph">
    <w:name w:val="List Paragraph"/>
    <w:basedOn w:val="Normal"/>
    <w:uiPriority w:val="34"/>
    <w:qFormat/>
    <w:rsid w:val="00B15096"/>
    <w:pPr>
      <w:ind w:left="720"/>
      <w:contextualSpacing/>
    </w:pPr>
  </w:style>
  <w:style w:type="character" w:customStyle="1" w:styleId="Heading2Char">
    <w:name w:val="Heading 2 Char"/>
    <w:basedOn w:val="DefaultParagraphFont"/>
    <w:link w:val="Heading2"/>
    <w:uiPriority w:val="9"/>
    <w:rsid w:val="004A25E1"/>
    <w:rPr>
      <w:rFonts w:ascii="Times New Roman" w:eastAsia="Times New Roman" w:hAnsi="Times New Roman" w:cs="Times New Roman"/>
      <w:b/>
      <w:bCs/>
      <w:sz w:val="36"/>
      <w:szCs w:val="36"/>
      <w:lang w:eastAsia="sl-SI"/>
    </w:rPr>
  </w:style>
  <w:style w:type="paragraph" w:styleId="BalloonText">
    <w:name w:val="Balloon Text"/>
    <w:basedOn w:val="Normal"/>
    <w:link w:val="BalloonTextChar"/>
    <w:uiPriority w:val="99"/>
    <w:semiHidden/>
    <w:unhideWhenUsed/>
    <w:rsid w:val="004A2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5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2410">
      <w:bodyDiv w:val="1"/>
      <w:marLeft w:val="0"/>
      <w:marRight w:val="0"/>
      <w:marTop w:val="0"/>
      <w:marBottom w:val="0"/>
      <w:divBdr>
        <w:top w:val="none" w:sz="0" w:space="0" w:color="auto"/>
        <w:left w:val="none" w:sz="0" w:space="0" w:color="auto"/>
        <w:bottom w:val="none" w:sz="0" w:space="0" w:color="auto"/>
        <w:right w:val="none" w:sz="0" w:space="0" w:color="auto"/>
      </w:divBdr>
    </w:div>
    <w:div w:id="359820389">
      <w:bodyDiv w:val="1"/>
      <w:marLeft w:val="0"/>
      <w:marRight w:val="0"/>
      <w:marTop w:val="0"/>
      <w:marBottom w:val="0"/>
      <w:divBdr>
        <w:top w:val="none" w:sz="0" w:space="0" w:color="auto"/>
        <w:left w:val="none" w:sz="0" w:space="0" w:color="auto"/>
        <w:bottom w:val="none" w:sz="0" w:space="0" w:color="auto"/>
        <w:right w:val="none" w:sz="0" w:space="0" w:color="auto"/>
      </w:divBdr>
      <w:divsChild>
        <w:div w:id="1773210252">
          <w:marLeft w:val="0"/>
          <w:marRight w:val="0"/>
          <w:marTop w:val="0"/>
          <w:marBottom w:val="0"/>
          <w:divBdr>
            <w:top w:val="none" w:sz="0" w:space="0" w:color="auto"/>
            <w:left w:val="none" w:sz="0" w:space="0" w:color="auto"/>
            <w:bottom w:val="none" w:sz="0" w:space="0" w:color="auto"/>
            <w:right w:val="none" w:sz="0" w:space="0" w:color="auto"/>
          </w:divBdr>
        </w:div>
      </w:divsChild>
    </w:div>
    <w:div w:id="1116025916">
      <w:bodyDiv w:val="1"/>
      <w:marLeft w:val="0"/>
      <w:marRight w:val="0"/>
      <w:marTop w:val="0"/>
      <w:marBottom w:val="0"/>
      <w:divBdr>
        <w:top w:val="none" w:sz="0" w:space="0" w:color="auto"/>
        <w:left w:val="none" w:sz="0" w:space="0" w:color="auto"/>
        <w:bottom w:val="none" w:sz="0" w:space="0" w:color="auto"/>
        <w:right w:val="none" w:sz="0" w:space="0" w:color="auto"/>
      </w:divBdr>
      <w:divsChild>
        <w:div w:id="559899820">
          <w:marLeft w:val="0"/>
          <w:marRight w:val="0"/>
          <w:marTop w:val="0"/>
          <w:marBottom w:val="0"/>
          <w:divBdr>
            <w:top w:val="none" w:sz="0" w:space="0" w:color="auto"/>
            <w:left w:val="none" w:sz="0" w:space="0" w:color="auto"/>
            <w:bottom w:val="none" w:sz="0" w:space="0" w:color="auto"/>
            <w:right w:val="none" w:sz="0" w:space="0" w:color="auto"/>
          </w:divBdr>
        </w:div>
      </w:divsChild>
    </w:div>
    <w:div w:id="167969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sf/main.jsp?catId=67&amp;langId=en&amp;newsId=9662" TargetMode="External"/><Relationship Id="rId3" Type="http://schemas.openxmlformats.org/officeDocument/2006/relationships/settings" Target="settings.xml"/><Relationship Id="rId7" Type="http://schemas.openxmlformats.org/officeDocument/2006/relationships/hyperlink" Target="https://ec.europa.eu/social/main.jsp?catId=325&amp;langId=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parl.europa.eu/doceo/document/TA-9-2021-0272_SL.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Bostjan Sinkovec</cp:lastModifiedBy>
  <cp:revision>9</cp:revision>
  <dcterms:created xsi:type="dcterms:W3CDTF">2021-06-09T12:31:00Z</dcterms:created>
  <dcterms:modified xsi:type="dcterms:W3CDTF">2021-06-11T11:36:00Z</dcterms:modified>
</cp:coreProperties>
</file>