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5F" w:rsidRPr="00467345" w:rsidRDefault="00CD105F" w:rsidP="00CD105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05F" w:rsidRPr="00083714" w:rsidRDefault="00CD105F" w:rsidP="00CD105F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D105F" w:rsidRPr="00083714" w:rsidRDefault="00CD105F" w:rsidP="00CD105F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CD105F" w:rsidRDefault="00CD105F" w:rsidP="00CD105F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96 </w:t>
      </w:r>
      <w:r w:rsidRPr="00083714">
        <w:rPr>
          <w:b/>
        </w:rPr>
        <w:t>– 20</w:t>
      </w:r>
      <w:r>
        <w:rPr>
          <w:b/>
        </w:rPr>
        <w:t>22</w:t>
      </w:r>
    </w:p>
    <w:p w:rsidR="00CD105F" w:rsidRPr="0002310E" w:rsidRDefault="00CD105F" w:rsidP="00CD105F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06. junij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EA64FC" w:rsidRDefault="00CD105F" w:rsidP="00CD105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 okviru Evropske obrambne agencije (EDA) je ustanovljeno vozlišče za obrambne inovacije EU (HEDI)</w:t>
      </w:r>
    </w:p>
    <w:p w:rsidR="00850511" w:rsidRPr="00F92709" w:rsidRDefault="00CD105F" w:rsidP="00EA64FC">
      <w:pPr>
        <w:jc w:val="both"/>
        <w:rPr>
          <w:rFonts w:ascii="Arial" w:hAnsi="Arial" w:cs="Arial"/>
          <w:b/>
          <w:i/>
        </w:rPr>
      </w:pPr>
      <w:r w:rsidRPr="00F92709">
        <w:rPr>
          <w:rFonts w:ascii="Arial" w:hAnsi="Arial" w:cs="Arial"/>
          <w:b/>
          <w:i/>
        </w:rPr>
        <w:t>V okviru Evropske obrambne agencije (EDA) je u</w:t>
      </w:r>
      <w:r w:rsidR="00435326" w:rsidRPr="00F92709">
        <w:rPr>
          <w:rFonts w:ascii="Arial" w:hAnsi="Arial" w:cs="Arial"/>
          <w:b/>
          <w:i/>
        </w:rPr>
        <w:t>stanovljeno vozlišče za obrambne inovacije EU (HEDI), ki služi kot platforma za spodbujanje in sodelovanje na področju obrambnih inovacij med državami članicami. HEDI naj bi zagotavljal</w:t>
      </w:r>
      <w:r w:rsidRPr="00F92709">
        <w:rPr>
          <w:rFonts w:ascii="Arial" w:hAnsi="Arial" w:cs="Arial"/>
          <w:b/>
          <w:i/>
        </w:rPr>
        <w:t xml:space="preserve"> </w:t>
      </w:r>
      <w:r w:rsidR="00435326" w:rsidRPr="00F92709">
        <w:rPr>
          <w:rFonts w:ascii="Arial" w:hAnsi="Arial" w:cs="Arial"/>
          <w:b/>
          <w:i/>
        </w:rPr>
        <w:t>sinergije s shemo EU za ino</w:t>
      </w:r>
      <w:r w:rsidR="00F92709">
        <w:rPr>
          <w:rFonts w:ascii="Arial" w:hAnsi="Arial" w:cs="Arial"/>
          <w:b/>
          <w:i/>
        </w:rPr>
        <w:t>vacije na področju obrambe</w:t>
      </w:r>
      <w:r w:rsidR="00435326" w:rsidRPr="00F92709">
        <w:rPr>
          <w:rFonts w:ascii="Arial" w:hAnsi="Arial" w:cs="Arial"/>
          <w:b/>
          <w:i/>
        </w:rPr>
        <w:t xml:space="preserve"> in skladnost rezultatov s pobudami za inovacije zavezništva Nato. </w:t>
      </w:r>
      <w:r w:rsidR="00F92709">
        <w:rPr>
          <w:rFonts w:ascii="Arial" w:hAnsi="Arial" w:cs="Arial"/>
          <w:b/>
          <w:i/>
        </w:rPr>
        <w:t>T</w:t>
      </w:r>
      <w:r w:rsidR="004D35EC" w:rsidRPr="00F92709">
        <w:rPr>
          <w:rFonts w:ascii="Arial" w:hAnsi="Arial" w:cs="Arial"/>
          <w:b/>
          <w:i/>
        </w:rPr>
        <w:t>rije koraki, ki naj bi jih vozlišče izpolnilo</w:t>
      </w:r>
      <w:r w:rsidR="00F92709">
        <w:rPr>
          <w:rFonts w:ascii="Arial" w:hAnsi="Arial" w:cs="Arial"/>
          <w:b/>
          <w:i/>
        </w:rPr>
        <w:t>,</w:t>
      </w:r>
      <w:r w:rsidRPr="00F92709">
        <w:rPr>
          <w:rFonts w:ascii="Arial" w:hAnsi="Arial" w:cs="Arial"/>
          <w:b/>
          <w:i/>
        </w:rPr>
        <w:t xml:space="preserve"> so: navdihovanje in spodbujanje inovacij, začetek delovanja v vseh državah članicah in HEDI 2.0 kot vseevropska platforma. </w:t>
      </w:r>
      <w:r w:rsidR="00435326" w:rsidRPr="00F92709">
        <w:rPr>
          <w:rFonts w:ascii="Arial" w:hAnsi="Arial" w:cs="Arial"/>
          <w:b/>
          <w:i/>
        </w:rPr>
        <w:t xml:space="preserve">Člani lahko dobijo več informacij na SBRA. </w:t>
      </w:r>
    </w:p>
    <w:p w:rsidR="004D35EC" w:rsidRPr="00EA64FC" w:rsidRDefault="004D35EC" w:rsidP="00EA64FC">
      <w:pPr>
        <w:jc w:val="both"/>
        <w:rPr>
          <w:rFonts w:ascii="Arial" w:hAnsi="Arial" w:cs="Arial"/>
          <w:b/>
          <w:sz w:val="20"/>
          <w:szCs w:val="20"/>
        </w:rPr>
      </w:pPr>
      <w:r w:rsidRPr="00EA64FC">
        <w:rPr>
          <w:rFonts w:ascii="Arial" w:hAnsi="Arial" w:cs="Arial"/>
          <w:b/>
          <w:sz w:val="20"/>
          <w:szCs w:val="20"/>
        </w:rPr>
        <w:t>Tabela 1: Sklopi dejavnosti vozlišča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4D35EC" w:rsidRPr="00EA64FC" w:rsidTr="004D35EC">
        <w:tc>
          <w:tcPr>
            <w:tcW w:w="4606" w:type="dxa"/>
          </w:tcPr>
          <w:p w:rsidR="004D35EC" w:rsidRPr="00F92709" w:rsidRDefault="004D35EC" w:rsidP="00EA64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2709">
              <w:rPr>
                <w:rFonts w:ascii="Arial" w:hAnsi="Arial" w:cs="Arial"/>
                <w:b/>
                <w:sz w:val="18"/>
                <w:szCs w:val="18"/>
              </w:rPr>
              <w:t>Sklop</w:t>
            </w:r>
          </w:p>
        </w:tc>
        <w:tc>
          <w:tcPr>
            <w:tcW w:w="4606" w:type="dxa"/>
          </w:tcPr>
          <w:p w:rsidR="004D35EC" w:rsidRPr="00F92709" w:rsidRDefault="004D35EC" w:rsidP="00EA64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2709">
              <w:rPr>
                <w:rFonts w:ascii="Arial" w:hAnsi="Arial" w:cs="Arial"/>
                <w:b/>
                <w:sz w:val="18"/>
                <w:szCs w:val="18"/>
              </w:rPr>
              <w:t>Dejavnosti</w:t>
            </w:r>
          </w:p>
        </w:tc>
      </w:tr>
      <w:tr w:rsidR="004D35EC" w:rsidRPr="00EA64FC" w:rsidTr="004D35EC">
        <w:tc>
          <w:tcPr>
            <w:tcW w:w="4606" w:type="dxa"/>
          </w:tcPr>
          <w:p w:rsidR="004D35EC" w:rsidRPr="00F92709" w:rsidRDefault="004D35EC" w:rsidP="00EA64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2709">
              <w:rPr>
                <w:rFonts w:ascii="Arial" w:hAnsi="Arial" w:cs="Arial"/>
                <w:b/>
                <w:sz w:val="18"/>
                <w:szCs w:val="18"/>
              </w:rPr>
              <w:t>Skupna slika</w:t>
            </w:r>
          </w:p>
        </w:tc>
        <w:tc>
          <w:tcPr>
            <w:tcW w:w="4606" w:type="dxa"/>
          </w:tcPr>
          <w:p w:rsidR="004D35EC" w:rsidRPr="00F92709" w:rsidRDefault="004D35EC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>Vozlišče bo prispevalo k oblikovanju skupne slike o obrambnih inovacijah z vključitvijo strokovnjakov iz držav članic in vzpostavitvijo mreže raziskovalnih organizacij in raziskovalcev</w:t>
            </w:r>
          </w:p>
        </w:tc>
      </w:tr>
      <w:tr w:rsidR="004D35EC" w:rsidRPr="00EA64FC" w:rsidTr="004D35EC">
        <w:tc>
          <w:tcPr>
            <w:tcW w:w="4606" w:type="dxa"/>
          </w:tcPr>
          <w:p w:rsidR="004D35EC" w:rsidRPr="00F92709" w:rsidRDefault="007974F2" w:rsidP="00EA64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2709">
              <w:rPr>
                <w:rFonts w:ascii="Arial" w:hAnsi="Arial" w:cs="Arial"/>
                <w:b/>
                <w:sz w:val="18"/>
                <w:szCs w:val="18"/>
              </w:rPr>
              <w:t>Nagrade EDA za inovacije</w:t>
            </w:r>
          </w:p>
        </w:tc>
        <w:tc>
          <w:tcPr>
            <w:tcW w:w="4606" w:type="dxa"/>
          </w:tcPr>
          <w:p w:rsidR="007974F2" w:rsidRPr="00F92709" w:rsidRDefault="007974F2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 xml:space="preserve">Nagrade za inovacije so način zbiranja inovativnih idej in rešitev na vseh ravneh tehnološke pripravljenosti. Dobitnikom nagrad se zagotovijo zagonska sredstva za </w:t>
            </w:r>
          </w:p>
          <w:p w:rsidR="007974F2" w:rsidRPr="00F92709" w:rsidRDefault="007974F2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 xml:space="preserve">razvoj njihovih idej v smeri </w:t>
            </w:r>
          </w:p>
          <w:p w:rsidR="004D35EC" w:rsidRPr="00F92709" w:rsidRDefault="007974F2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>potrditev koncepta ali demonstracijskih izdelkov.</w:t>
            </w:r>
          </w:p>
        </w:tc>
      </w:tr>
      <w:tr w:rsidR="004D35EC" w:rsidRPr="00EA64FC" w:rsidTr="004D35EC">
        <w:tc>
          <w:tcPr>
            <w:tcW w:w="4606" w:type="dxa"/>
          </w:tcPr>
          <w:p w:rsidR="004D35EC" w:rsidRPr="00F92709" w:rsidRDefault="007974F2" w:rsidP="00EA64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2709">
              <w:rPr>
                <w:rFonts w:ascii="Arial" w:hAnsi="Arial" w:cs="Arial"/>
                <w:b/>
                <w:sz w:val="18"/>
                <w:szCs w:val="18"/>
              </w:rPr>
              <w:t>Inovacijski izzivi</w:t>
            </w:r>
          </w:p>
        </w:tc>
        <w:tc>
          <w:tcPr>
            <w:tcW w:w="4606" w:type="dxa"/>
          </w:tcPr>
          <w:p w:rsidR="007974F2" w:rsidRPr="00F92709" w:rsidRDefault="007974F2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 xml:space="preserve">Vozlišče bo sposobno oblikovati, </w:t>
            </w:r>
          </w:p>
          <w:p w:rsidR="004D35EC" w:rsidRPr="00F92709" w:rsidRDefault="007974F2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>nadzorovati in upravljati eksperimentiranje rešitev in idej na terenu.</w:t>
            </w:r>
          </w:p>
        </w:tc>
      </w:tr>
      <w:tr w:rsidR="004D35EC" w:rsidRPr="00EA64FC" w:rsidTr="004D35EC">
        <w:tc>
          <w:tcPr>
            <w:tcW w:w="4606" w:type="dxa"/>
          </w:tcPr>
          <w:p w:rsidR="004D35EC" w:rsidRPr="00F92709" w:rsidRDefault="007974F2" w:rsidP="00EA64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2709">
              <w:rPr>
                <w:rFonts w:ascii="Arial" w:hAnsi="Arial" w:cs="Arial"/>
                <w:b/>
                <w:sz w:val="18"/>
                <w:szCs w:val="18"/>
              </w:rPr>
              <w:t>Potrditev koncepta/predstavitve</w:t>
            </w:r>
          </w:p>
        </w:tc>
        <w:tc>
          <w:tcPr>
            <w:tcW w:w="4606" w:type="dxa"/>
          </w:tcPr>
          <w:p w:rsidR="007974F2" w:rsidRPr="00F92709" w:rsidRDefault="007974F2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 xml:space="preserve">Z izbiro najprimernejšega </w:t>
            </w:r>
          </w:p>
          <w:p w:rsidR="004D35EC" w:rsidRPr="00F92709" w:rsidRDefault="007974F2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>Financiranja bo vozlišče pospešilo razvoj tehnologij, ki imajo največji potencial.</w:t>
            </w:r>
          </w:p>
        </w:tc>
      </w:tr>
      <w:tr w:rsidR="004D35EC" w:rsidRPr="00EA64FC" w:rsidTr="004D35EC">
        <w:tc>
          <w:tcPr>
            <w:tcW w:w="4606" w:type="dxa"/>
          </w:tcPr>
          <w:p w:rsidR="004D35EC" w:rsidRPr="00F92709" w:rsidRDefault="007974F2" w:rsidP="00EA64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2709">
              <w:rPr>
                <w:rFonts w:ascii="Arial" w:hAnsi="Arial" w:cs="Arial"/>
                <w:b/>
                <w:sz w:val="18"/>
                <w:szCs w:val="18"/>
              </w:rPr>
              <w:t>Predstavitve evropskih obrambnih inovacij</w:t>
            </w:r>
          </w:p>
        </w:tc>
        <w:tc>
          <w:tcPr>
            <w:tcW w:w="4606" w:type="dxa"/>
          </w:tcPr>
          <w:p w:rsidR="00EA64FC" w:rsidRPr="00F92709" w:rsidRDefault="007974F2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>Vozlišče bo vsako leto organiziralo razstave</w:t>
            </w:r>
            <w:r w:rsidR="00EA64FC" w:rsidRPr="00F92709">
              <w:rPr>
                <w:rFonts w:ascii="Arial" w:hAnsi="Arial" w:cs="Arial"/>
                <w:sz w:val="18"/>
                <w:szCs w:val="18"/>
              </w:rPr>
              <w:t xml:space="preserve"> in konference, </w:t>
            </w:r>
            <w:r w:rsidRPr="00F92709">
              <w:rPr>
                <w:rFonts w:ascii="Arial" w:hAnsi="Arial" w:cs="Arial"/>
                <w:sz w:val="18"/>
                <w:szCs w:val="18"/>
              </w:rPr>
              <w:t>panelne razprave in podelitve nagrad.</w:t>
            </w:r>
            <w:r w:rsidR="00EA64FC" w:rsidRPr="00F92709">
              <w:rPr>
                <w:rFonts w:ascii="Arial" w:hAnsi="Arial" w:cs="Arial"/>
                <w:sz w:val="18"/>
                <w:szCs w:val="18"/>
              </w:rPr>
              <w:t xml:space="preserve"> Razstavni prostor bo namenjen predstavitvi rezultatov obrambnih </w:t>
            </w:r>
          </w:p>
          <w:p w:rsidR="004D35EC" w:rsidRPr="00F92709" w:rsidRDefault="00EA64FC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>inovacijskih projektov</w:t>
            </w:r>
          </w:p>
        </w:tc>
      </w:tr>
      <w:tr w:rsidR="004D35EC" w:rsidRPr="00EA64FC" w:rsidTr="004D35EC">
        <w:tc>
          <w:tcPr>
            <w:tcW w:w="4606" w:type="dxa"/>
          </w:tcPr>
          <w:p w:rsidR="004D35EC" w:rsidRPr="00F92709" w:rsidRDefault="00EA64FC" w:rsidP="00EA64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2709">
              <w:rPr>
                <w:rFonts w:ascii="Arial" w:hAnsi="Arial" w:cs="Arial"/>
                <w:b/>
                <w:sz w:val="18"/>
                <w:szCs w:val="18"/>
              </w:rPr>
              <w:t>Upravljanje inovacij</w:t>
            </w:r>
          </w:p>
        </w:tc>
        <w:tc>
          <w:tcPr>
            <w:tcW w:w="4606" w:type="dxa"/>
          </w:tcPr>
          <w:p w:rsidR="004D35EC" w:rsidRPr="00F92709" w:rsidRDefault="00EA64FC" w:rsidP="00EA6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709">
              <w:rPr>
                <w:rFonts w:ascii="Arial" w:hAnsi="Arial" w:cs="Arial"/>
                <w:sz w:val="18"/>
                <w:szCs w:val="18"/>
              </w:rPr>
              <w:t>Vozlišče bo preučilo možnosti za organizacijo kampanj na podlagi prednostnih nalog držav članic.</w:t>
            </w:r>
          </w:p>
        </w:tc>
      </w:tr>
    </w:tbl>
    <w:p w:rsidR="00EA64FC" w:rsidRPr="00EA64FC" w:rsidRDefault="00EA64FC" w:rsidP="00EA64FC">
      <w:pPr>
        <w:jc w:val="both"/>
        <w:rPr>
          <w:rFonts w:ascii="Arial" w:hAnsi="Arial" w:cs="Arial"/>
          <w:sz w:val="20"/>
          <w:szCs w:val="20"/>
        </w:rPr>
      </w:pPr>
      <w:r w:rsidRPr="00EA64FC">
        <w:rPr>
          <w:rFonts w:ascii="Arial" w:hAnsi="Arial" w:cs="Arial"/>
          <w:sz w:val="20"/>
          <w:szCs w:val="20"/>
        </w:rPr>
        <w:t>Vir: EDA</w:t>
      </w:r>
    </w:p>
    <w:p w:rsidR="00F92709" w:rsidRDefault="00F92709" w:rsidP="00EA64FC">
      <w:pPr>
        <w:jc w:val="both"/>
        <w:rPr>
          <w:rFonts w:ascii="Arial" w:hAnsi="Arial" w:cs="Arial"/>
          <w:b/>
          <w:sz w:val="20"/>
          <w:szCs w:val="20"/>
        </w:rPr>
      </w:pPr>
    </w:p>
    <w:p w:rsidR="00EA64FC" w:rsidRPr="00EA64FC" w:rsidRDefault="00EA64FC" w:rsidP="00EA64FC">
      <w:pPr>
        <w:jc w:val="both"/>
        <w:rPr>
          <w:rFonts w:ascii="Arial" w:hAnsi="Arial" w:cs="Arial"/>
          <w:b/>
          <w:sz w:val="20"/>
          <w:szCs w:val="20"/>
        </w:rPr>
      </w:pPr>
      <w:r w:rsidRPr="00EA64FC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EA64FC" w:rsidRPr="00EA64FC" w:rsidRDefault="00EA64FC" w:rsidP="00EA64F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64FC">
        <w:rPr>
          <w:rFonts w:ascii="Arial" w:hAnsi="Arial" w:cs="Arial"/>
          <w:sz w:val="20"/>
          <w:szCs w:val="20"/>
        </w:rPr>
        <w:t>Predstavitev vozlišča:</w:t>
      </w:r>
    </w:p>
    <w:p w:rsidR="00EA64FC" w:rsidRPr="00EA64FC" w:rsidRDefault="00EA64FC" w:rsidP="00EA64F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A64FC">
          <w:rPr>
            <w:rStyle w:val="Hiperpovezava"/>
            <w:rFonts w:ascii="Arial" w:hAnsi="Arial" w:cs="Arial"/>
            <w:sz w:val="20"/>
            <w:szCs w:val="20"/>
          </w:rPr>
          <w:t>https://eda.europa.eu/publications-and-data/factsheets/factsheet-hub-for-eu-defence-innovation-(hedi)</w:t>
        </w:r>
      </w:hyperlink>
    </w:p>
    <w:p w:rsidR="00EA64FC" w:rsidRPr="00EA64FC" w:rsidRDefault="00EA64FC" w:rsidP="00EA64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64FC">
        <w:rPr>
          <w:rFonts w:ascii="Arial" w:hAnsi="Arial" w:cs="Arial"/>
          <w:sz w:val="20"/>
          <w:szCs w:val="20"/>
        </w:rPr>
        <w:t>Pripravila:</w:t>
      </w:r>
    </w:p>
    <w:p w:rsidR="004D35EC" w:rsidRPr="00EA64FC" w:rsidRDefault="00EA64FC" w:rsidP="00EA64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64FC">
        <w:rPr>
          <w:rFonts w:ascii="Arial" w:hAnsi="Arial" w:cs="Arial"/>
          <w:sz w:val="20"/>
          <w:szCs w:val="20"/>
        </w:rPr>
        <w:t>Darja Kocbek</w:t>
      </w:r>
      <w:r w:rsidR="004D35EC" w:rsidRPr="00EA64FC">
        <w:rPr>
          <w:rFonts w:ascii="Arial" w:hAnsi="Arial" w:cs="Arial"/>
          <w:sz w:val="20"/>
          <w:szCs w:val="20"/>
        </w:rPr>
        <w:t xml:space="preserve"> </w:t>
      </w:r>
    </w:p>
    <w:sectPr w:rsidR="004D35EC" w:rsidRPr="00EA64FC" w:rsidSect="00850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F3E"/>
    <w:multiLevelType w:val="hybridMultilevel"/>
    <w:tmpl w:val="8E6EA3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326"/>
    <w:rsid w:val="00435326"/>
    <w:rsid w:val="004D35EC"/>
    <w:rsid w:val="007974F2"/>
    <w:rsid w:val="00850511"/>
    <w:rsid w:val="00CD105F"/>
    <w:rsid w:val="00EA64FC"/>
    <w:rsid w:val="00F9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0511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D1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D3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EA64F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A64F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D1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1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a.europa.eu/publications-and-data/factsheets/factsheet-hub-for-eu-defence-innovation-(hedi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2022-06-01T20:17:00Z</dcterms:created>
  <dcterms:modified xsi:type="dcterms:W3CDTF">2022-06-01T21:04:00Z</dcterms:modified>
</cp:coreProperties>
</file>