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7A" w:rsidRDefault="00DA547A" w:rsidP="00DA547A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val="sl-SI" w:eastAsia="sl-SI"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47A" w:rsidRDefault="00DA547A" w:rsidP="00DA547A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DA547A" w:rsidRDefault="00DA547A" w:rsidP="00DA547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A547A" w:rsidRDefault="00DA547A" w:rsidP="00DA547A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DA547A" w:rsidRPr="008D7100" w:rsidRDefault="00DA547A" w:rsidP="00DA547A">
      <w:pPr>
        <w:tabs>
          <w:tab w:val="left" w:pos="3120"/>
        </w:tabs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8D7100">
        <w:rPr>
          <w:rFonts w:ascii="Arial" w:hAnsi="Arial" w:cs="Arial"/>
          <w:b/>
          <w:sz w:val="22"/>
          <w:szCs w:val="22"/>
          <w:lang w:val="sl-SI"/>
        </w:rPr>
        <w:t>Občasna informacija članom 95 – 2017</w:t>
      </w:r>
    </w:p>
    <w:p w:rsidR="00DA547A" w:rsidRPr="008D7100" w:rsidRDefault="00DA547A" w:rsidP="00DA547A">
      <w:pPr>
        <w:tabs>
          <w:tab w:val="left" w:pos="3120"/>
        </w:tabs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DA547A" w:rsidRPr="008D7100" w:rsidRDefault="00DA547A" w:rsidP="00DA547A">
      <w:pPr>
        <w:tabs>
          <w:tab w:val="left" w:pos="3120"/>
        </w:tabs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8D7100">
        <w:rPr>
          <w:rFonts w:ascii="Arial" w:hAnsi="Arial" w:cs="Arial"/>
          <w:b/>
          <w:sz w:val="22"/>
          <w:szCs w:val="22"/>
          <w:lang w:val="sl-SI"/>
        </w:rPr>
        <w:t>12. junij 2017</w:t>
      </w:r>
    </w:p>
    <w:p w:rsidR="00DA547A" w:rsidRPr="00DD131D" w:rsidRDefault="00DA547A" w:rsidP="00DA547A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DA547A" w:rsidRPr="00C25B2A" w:rsidRDefault="00C25B2A" w:rsidP="00C25B2A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C25B2A">
        <w:rPr>
          <w:rFonts w:ascii="Arial" w:hAnsi="Arial" w:cs="Arial"/>
          <w:b/>
          <w:color w:val="993300"/>
          <w:sz w:val="32"/>
          <w:szCs w:val="32"/>
          <w:lang w:val="sl-SI"/>
        </w:rPr>
        <w:t xml:space="preserve">V pravkar vzpostavljenem evropskem obrambnem skladu </w:t>
      </w:r>
      <w:r w:rsidR="00B75FAB">
        <w:rPr>
          <w:rFonts w:ascii="Arial" w:hAnsi="Arial" w:cs="Arial"/>
          <w:b/>
          <w:color w:val="993300"/>
          <w:sz w:val="32"/>
          <w:szCs w:val="32"/>
          <w:lang w:val="sl-SI"/>
        </w:rPr>
        <w:t xml:space="preserve">bo </w:t>
      </w:r>
      <w:r w:rsidR="001B132E">
        <w:rPr>
          <w:rFonts w:ascii="Arial" w:hAnsi="Arial" w:cs="Arial"/>
          <w:b/>
          <w:color w:val="993300"/>
          <w:sz w:val="32"/>
          <w:szCs w:val="32"/>
          <w:lang w:val="sl-SI"/>
        </w:rPr>
        <w:t>za raziskave do konca 2019 na voljo 90 milijonov evrov</w:t>
      </w:r>
    </w:p>
    <w:p w:rsidR="00DA547A" w:rsidRDefault="00DA547A" w:rsidP="00595792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B75FAB" w:rsidRDefault="00C50672" w:rsidP="00595792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595792">
        <w:rPr>
          <w:rFonts w:ascii="Arial" w:hAnsi="Arial" w:cs="Arial"/>
          <w:b/>
          <w:i/>
          <w:sz w:val="22"/>
          <w:szCs w:val="22"/>
          <w:lang w:val="sl-SI"/>
        </w:rPr>
        <w:t xml:space="preserve">Evropska komisija je vzpostavila evropski obrambni sklad, v katerem bo na leto na voljo 5,5 </w:t>
      </w:r>
      <w:r w:rsidR="00B75FAB">
        <w:rPr>
          <w:rFonts w:ascii="Arial" w:hAnsi="Arial" w:cs="Arial"/>
          <w:b/>
          <w:i/>
          <w:sz w:val="22"/>
          <w:szCs w:val="22"/>
          <w:lang w:val="sl-SI"/>
        </w:rPr>
        <w:t>milijarde</w:t>
      </w:r>
      <w:r w:rsidRPr="00595792">
        <w:rPr>
          <w:rFonts w:ascii="Arial" w:hAnsi="Arial" w:cs="Arial"/>
          <w:b/>
          <w:i/>
          <w:sz w:val="22"/>
          <w:szCs w:val="22"/>
          <w:lang w:val="sl-SI"/>
        </w:rPr>
        <w:t xml:space="preserve"> evrov. </w:t>
      </w:r>
      <w:r w:rsidR="00B75FAB">
        <w:rPr>
          <w:rFonts w:ascii="Arial" w:hAnsi="Arial" w:cs="Arial"/>
          <w:b/>
          <w:i/>
          <w:sz w:val="22"/>
          <w:szCs w:val="22"/>
          <w:lang w:val="sl-SI"/>
        </w:rPr>
        <w:t>Za raziskave bo do konca leta 2019 na voljo 90 milijonov evrov, od tega 25 milijonov evrov v letošnjem letu. Razpise</w:t>
      </w:r>
      <w:r w:rsidR="00B75FAB" w:rsidRPr="00B75FAB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  <w:r w:rsidR="00B75FAB" w:rsidRPr="00595792">
        <w:rPr>
          <w:rFonts w:ascii="Arial" w:hAnsi="Arial" w:cs="Arial"/>
          <w:b/>
          <w:i/>
          <w:sz w:val="22"/>
          <w:szCs w:val="22"/>
          <w:lang w:val="sl-SI"/>
        </w:rPr>
        <w:t>za zbiranje predlogov za projekte na področjih sistemov brez posadke v mornariškem okolju in sistemov za opremo vojaka</w:t>
      </w:r>
      <w:r w:rsidR="00B75FAB">
        <w:rPr>
          <w:rFonts w:ascii="Arial" w:hAnsi="Arial" w:cs="Arial"/>
          <w:b/>
          <w:i/>
          <w:sz w:val="22"/>
          <w:szCs w:val="22"/>
          <w:lang w:val="sl-SI"/>
        </w:rPr>
        <w:t xml:space="preserve"> je Evropska komisija pravkar že objavila</w:t>
      </w:r>
      <w:r w:rsidR="00B75FAB" w:rsidRPr="00595792">
        <w:rPr>
          <w:rFonts w:ascii="Arial" w:hAnsi="Arial" w:cs="Arial"/>
          <w:b/>
          <w:i/>
          <w:sz w:val="22"/>
          <w:szCs w:val="22"/>
          <w:lang w:val="sl-SI"/>
        </w:rPr>
        <w:t>. Rok za oddajo ponudb je 21. september in 5. oktober.</w:t>
      </w:r>
      <w:r w:rsidR="00B75FAB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  <w:r w:rsidR="00B75FAB" w:rsidRPr="00595792">
        <w:rPr>
          <w:rFonts w:ascii="Arial" w:hAnsi="Arial" w:cs="Arial"/>
          <w:b/>
          <w:i/>
          <w:sz w:val="22"/>
          <w:szCs w:val="22"/>
          <w:lang w:val="sl-SI"/>
        </w:rPr>
        <w:t xml:space="preserve">Člani lahko </w:t>
      </w:r>
      <w:r w:rsidR="00656194">
        <w:rPr>
          <w:rFonts w:ascii="Arial" w:hAnsi="Arial" w:cs="Arial"/>
          <w:b/>
          <w:i/>
          <w:sz w:val="22"/>
          <w:szCs w:val="22"/>
          <w:lang w:val="sl-SI"/>
        </w:rPr>
        <w:t xml:space="preserve">dobijo </w:t>
      </w:r>
      <w:r w:rsidR="00B75FAB" w:rsidRPr="00595792">
        <w:rPr>
          <w:rFonts w:ascii="Arial" w:hAnsi="Arial" w:cs="Arial"/>
          <w:b/>
          <w:i/>
          <w:sz w:val="22"/>
          <w:szCs w:val="22"/>
          <w:lang w:val="sl-SI"/>
        </w:rPr>
        <w:t>podrobnejše informacije na SGRZ.</w:t>
      </w:r>
    </w:p>
    <w:p w:rsidR="00B75FAB" w:rsidRDefault="00B75FAB" w:rsidP="00595792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C50672" w:rsidRPr="00595792" w:rsidRDefault="00C50672" w:rsidP="0059579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B75FAB">
        <w:rPr>
          <w:rFonts w:ascii="Arial" w:hAnsi="Arial" w:cs="Arial"/>
          <w:sz w:val="20"/>
          <w:szCs w:val="20"/>
          <w:lang w:val="sl-SI"/>
        </w:rPr>
        <w:t xml:space="preserve">Leta 2018 bo </w:t>
      </w:r>
      <w:r w:rsidR="00B75FAB">
        <w:rPr>
          <w:rFonts w:ascii="Arial" w:hAnsi="Arial" w:cs="Arial"/>
          <w:sz w:val="20"/>
          <w:szCs w:val="20"/>
          <w:lang w:val="sl-SI"/>
        </w:rPr>
        <w:t xml:space="preserve">Evropska komisija </w:t>
      </w:r>
      <w:r w:rsidR="000C1893" w:rsidRPr="00B75FAB">
        <w:rPr>
          <w:rFonts w:ascii="Arial" w:hAnsi="Arial" w:cs="Arial"/>
          <w:sz w:val="20"/>
          <w:szCs w:val="20"/>
          <w:lang w:val="sl-SI"/>
        </w:rPr>
        <w:t xml:space="preserve">za obdobje po letu 2020 </w:t>
      </w:r>
      <w:r w:rsidRPr="00B75FAB">
        <w:rPr>
          <w:rFonts w:ascii="Arial" w:hAnsi="Arial" w:cs="Arial"/>
          <w:sz w:val="20"/>
          <w:szCs w:val="20"/>
          <w:lang w:val="sl-SI"/>
        </w:rPr>
        <w:t xml:space="preserve">predlagala poseben program EU za obrambne raziskave s predvidenim letnim proračunom v višini 500 milijonov evrov. </w:t>
      </w:r>
      <w:r w:rsidR="00B75FAB">
        <w:rPr>
          <w:rFonts w:ascii="Arial" w:hAnsi="Arial" w:cs="Arial"/>
          <w:sz w:val="20"/>
          <w:szCs w:val="20"/>
          <w:lang w:val="sl-SI"/>
        </w:rPr>
        <w:t>Evropski obrambni s</w:t>
      </w:r>
      <w:r w:rsidR="00C62E68" w:rsidRPr="00595792">
        <w:rPr>
          <w:rFonts w:ascii="Arial" w:hAnsi="Arial" w:cs="Arial"/>
          <w:sz w:val="20"/>
          <w:szCs w:val="20"/>
          <w:lang w:val="sl-SI"/>
        </w:rPr>
        <w:t xml:space="preserve">klad bo podpiral skupne raziskave na področju obrambe in skupni razvoj obrambnih zmogljivosti. EU </w:t>
      </w:r>
      <w:r w:rsidR="00B75FAB">
        <w:rPr>
          <w:rFonts w:ascii="Arial" w:hAnsi="Arial" w:cs="Arial"/>
          <w:sz w:val="20"/>
          <w:szCs w:val="20"/>
          <w:lang w:val="sl-SI"/>
        </w:rPr>
        <w:t>bo</w:t>
      </w:r>
      <w:r w:rsidR="00C62E68" w:rsidRPr="00595792">
        <w:rPr>
          <w:rFonts w:ascii="Arial" w:hAnsi="Arial" w:cs="Arial"/>
          <w:sz w:val="20"/>
          <w:szCs w:val="20"/>
          <w:lang w:val="sl-SI"/>
        </w:rPr>
        <w:t xml:space="preserve"> zagotovila nepovratna sredstva za skupne raziskave na področju inovativnih obrambnih tehnologij in proizvodov, ki bodo v celoti in neposredno zagotovljena iz proračuna EU. Projekti, upravičeni do financiranja EU, se bodo osredotočali na prednostna področja, o katerih se bodo države članice vnaprej dogovorile, in bodo zajemali zlasti elektroniko, </w:t>
      </w:r>
      <w:proofErr w:type="spellStart"/>
      <w:r w:rsidR="00C62E68" w:rsidRPr="00595792">
        <w:rPr>
          <w:rFonts w:ascii="Arial" w:hAnsi="Arial" w:cs="Arial"/>
          <w:sz w:val="20"/>
          <w:szCs w:val="20"/>
          <w:lang w:val="sl-SI"/>
        </w:rPr>
        <w:t>metamateriale</w:t>
      </w:r>
      <w:proofErr w:type="spellEnd"/>
      <w:r w:rsidR="00C62E68" w:rsidRPr="00595792">
        <w:rPr>
          <w:rFonts w:ascii="Arial" w:hAnsi="Arial" w:cs="Arial"/>
          <w:sz w:val="20"/>
          <w:szCs w:val="20"/>
          <w:lang w:val="sl-SI"/>
        </w:rPr>
        <w:t>, šifrirano programsko opremo ali robotiko.</w:t>
      </w:r>
    </w:p>
    <w:p w:rsidR="000C1893" w:rsidRPr="00595792" w:rsidRDefault="000C1893" w:rsidP="0059579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C1893" w:rsidRDefault="00F50866" w:rsidP="0059579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Tabela</w:t>
      </w:r>
      <w:r w:rsidR="000C1893" w:rsidRPr="001A5714">
        <w:rPr>
          <w:rFonts w:ascii="Arial" w:hAnsi="Arial" w:cs="Arial"/>
          <w:b/>
          <w:sz w:val="20"/>
          <w:szCs w:val="20"/>
          <w:lang w:val="sl-SI"/>
        </w:rPr>
        <w:t xml:space="preserve"> 1: Prikaz financiranja iz evropskega obrambnega sklada</w:t>
      </w:r>
    </w:p>
    <w:p w:rsidR="00F50866" w:rsidRDefault="00F50866" w:rsidP="00595792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F50866" w:rsidRPr="008D7100" w:rsidTr="00F50866">
        <w:tc>
          <w:tcPr>
            <w:tcW w:w="3070" w:type="dxa"/>
          </w:tcPr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071" w:type="dxa"/>
          </w:tcPr>
          <w:p w:rsidR="00F50866" w:rsidRPr="008D7100" w:rsidRDefault="00F50866" w:rsidP="0000344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b/>
                <w:sz w:val="20"/>
                <w:szCs w:val="20"/>
                <w:lang w:val="sl-SI"/>
              </w:rPr>
              <w:t>Obdobje do leta 2020</w:t>
            </w:r>
          </w:p>
        </w:tc>
        <w:tc>
          <w:tcPr>
            <w:tcW w:w="3071" w:type="dxa"/>
          </w:tcPr>
          <w:p w:rsidR="00F50866" w:rsidRPr="008D7100" w:rsidRDefault="00F50866" w:rsidP="0000344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b/>
                <w:sz w:val="20"/>
                <w:szCs w:val="20"/>
                <w:lang w:val="sl-SI"/>
              </w:rPr>
              <w:t>Obdobje po letu 2020*</w:t>
            </w:r>
          </w:p>
        </w:tc>
      </w:tr>
      <w:tr w:rsidR="00F50866" w:rsidRPr="008D7100" w:rsidTr="00F50866">
        <w:tc>
          <w:tcPr>
            <w:tcW w:w="3070" w:type="dxa"/>
          </w:tcPr>
          <w:p w:rsidR="00F50866" w:rsidRPr="008D7100" w:rsidRDefault="00F50866" w:rsidP="0000344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b/>
                <w:sz w:val="20"/>
                <w:szCs w:val="20"/>
                <w:lang w:val="sl-SI"/>
              </w:rPr>
              <w:t>Raziskave</w:t>
            </w:r>
          </w:p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 xml:space="preserve">(zanje bodo </w:t>
            </w:r>
            <w:proofErr w:type="spellStart"/>
            <w:r w:rsidRPr="008D7100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  <w:r w:rsidRPr="008D7100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8D7100">
              <w:rPr>
                <w:rFonts w:ascii="Arial" w:hAnsi="Arial" w:cs="Arial"/>
                <w:sz w:val="20"/>
                <w:szCs w:val="20"/>
              </w:rPr>
              <w:t>celoti</w:t>
            </w:r>
            <w:proofErr w:type="spellEnd"/>
            <w:r w:rsidRPr="008D710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D7100">
              <w:rPr>
                <w:rFonts w:ascii="Arial" w:hAnsi="Arial" w:cs="Arial"/>
                <w:sz w:val="20"/>
                <w:szCs w:val="20"/>
              </w:rPr>
              <w:t>neposredno</w:t>
            </w:r>
            <w:proofErr w:type="spellEnd"/>
            <w:r w:rsidRPr="008D71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7100">
              <w:rPr>
                <w:rFonts w:ascii="Arial" w:hAnsi="Arial" w:cs="Arial"/>
                <w:sz w:val="20"/>
                <w:szCs w:val="20"/>
              </w:rPr>
              <w:t>zagotovljena</w:t>
            </w:r>
            <w:proofErr w:type="spellEnd"/>
            <w:r w:rsidRPr="008D71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7100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8D71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7100"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 w:rsidRPr="008D7100">
              <w:rPr>
                <w:rFonts w:ascii="Arial" w:hAnsi="Arial" w:cs="Arial"/>
                <w:sz w:val="20"/>
                <w:szCs w:val="20"/>
              </w:rPr>
              <w:t xml:space="preserve"> EU)</w:t>
            </w:r>
          </w:p>
        </w:tc>
        <w:tc>
          <w:tcPr>
            <w:tcW w:w="3071" w:type="dxa"/>
          </w:tcPr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90 milijonov evrov</w:t>
            </w:r>
          </w:p>
        </w:tc>
        <w:tc>
          <w:tcPr>
            <w:tcW w:w="3071" w:type="dxa"/>
          </w:tcPr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500 milijonov evrov na leto</w:t>
            </w:r>
          </w:p>
        </w:tc>
      </w:tr>
      <w:tr w:rsidR="00F50866" w:rsidRPr="008D7100" w:rsidTr="00F50866">
        <w:tc>
          <w:tcPr>
            <w:tcW w:w="3070" w:type="dxa"/>
          </w:tcPr>
          <w:p w:rsidR="00F50866" w:rsidRPr="008D7100" w:rsidRDefault="00F50866" w:rsidP="0000344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b/>
                <w:sz w:val="20"/>
                <w:szCs w:val="20"/>
                <w:lang w:val="sl-SI"/>
              </w:rPr>
              <w:t>Razvoj</w:t>
            </w:r>
          </w:p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(vsaj 80 odstotkov sredstev bodo zagotovili proračuni držav članic)</w:t>
            </w:r>
          </w:p>
        </w:tc>
        <w:tc>
          <w:tcPr>
            <w:tcW w:w="3071" w:type="dxa"/>
          </w:tcPr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2 milijardi evrov</w:t>
            </w:r>
          </w:p>
        </w:tc>
        <w:tc>
          <w:tcPr>
            <w:tcW w:w="3071" w:type="dxa"/>
          </w:tcPr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4 milijarde evrov na leto</w:t>
            </w:r>
          </w:p>
        </w:tc>
      </w:tr>
      <w:tr w:rsidR="00F50866" w:rsidRPr="008D7100" w:rsidTr="00F50866">
        <w:tc>
          <w:tcPr>
            <w:tcW w:w="3070" w:type="dxa"/>
          </w:tcPr>
          <w:p w:rsidR="008D7100" w:rsidRPr="008D7100" w:rsidRDefault="008D7100" w:rsidP="0000344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b/>
                <w:sz w:val="20"/>
                <w:szCs w:val="20"/>
                <w:lang w:val="sl-SI"/>
              </w:rPr>
              <w:t>Razvoj</w:t>
            </w:r>
          </w:p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(sofinanciranje iz proračuna EU v višini do 20 odstotkov)</w:t>
            </w:r>
          </w:p>
        </w:tc>
        <w:tc>
          <w:tcPr>
            <w:tcW w:w="3071" w:type="dxa"/>
          </w:tcPr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500 milijonov evrov</w:t>
            </w:r>
          </w:p>
        </w:tc>
        <w:tc>
          <w:tcPr>
            <w:tcW w:w="3071" w:type="dxa"/>
          </w:tcPr>
          <w:p w:rsidR="00F50866" w:rsidRPr="008D7100" w:rsidRDefault="00F50866" w:rsidP="0000344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1 milijarda evrov na leto</w:t>
            </w:r>
          </w:p>
        </w:tc>
      </w:tr>
      <w:tr w:rsidR="00F50866" w:rsidRPr="008D7100" w:rsidTr="00F50866">
        <w:tc>
          <w:tcPr>
            <w:tcW w:w="3070" w:type="dxa"/>
          </w:tcPr>
          <w:p w:rsidR="00F50866" w:rsidRPr="008D7100" w:rsidRDefault="00F50866" w:rsidP="00595792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b/>
                <w:sz w:val="20"/>
                <w:szCs w:val="20"/>
                <w:lang w:val="sl-SI"/>
              </w:rPr>
              <w:t>Skupaj</w:t>
            </w:r>
          </w:p>
        </w:tc>
        <w:tc>
          <w:tcPr>
            <w:tcW w:w="3071" w:type="dxa"/>
          </w:tcPr>
          <w:p w:rsidR="00F50866" w:rsidRPr="008D7100" w:rsidRDefault="00F50866" w:rsidP="00595792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071" w:type="dxa"/>
          </w:tcPr>
          <w:p w:rsidR="00F50866" w:rsidRPr="008D7100" w:rsidRDefault="00F50866" w:rsidP="00595792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D7100">
              <w:rPr>
                <w:rFonts w:ascii="Arial" w:hAnsi="Arial" w:cs="Arial"/>
                <w:sz w:val="20"/>
                <w:szCs w:val="20"/>
                <w:lang w:val="sl-SI"/>
              </w:rPr>
              <w:t>5,5 milijard evrov  na leto</w:t>
            </w:r>
          </w:p>
        </w:tc>
      </w:tr>
    </w:tbl>
    <w:p w:rsidR="00F50866" w:rsidRPr="008D7100" w:rsidRDefault="00F50866" w:rsidP="0059579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B75FAB" w:rsidRPr="008D7100" w:rsidRDefault="00F50866" w:rsidP="0059579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8D7100">
        <w:rPr>
          <w:rFonts w:ascii="Arial" w:hAnsi="Arial" w:cs="Arial"/>
          <w:sz w:val="20"/>
          <w:szCs w:val="20"/>
          <w:lang w:val="sl-SI"/>
        </w:rPr>
        <w:t>Opomba: * predvideno</w:t>
      </w:r>
    </w:p>
    <w:p w:rsidR="00F50866" w:rsidRPr="008D7100" w:rsidRDefault="00F50866" w:rsidP="0059579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8D7100">
        <w:rPr>
          <w:rFonts w:ascii="Arial" w:hAnsi="Arial" w:cs="Arial"/>
          <w:sz w:val="20"/>
          <w:szCs w:val="20"/>
          <w:lang w:val="sl-SI"/>
        </w:rPr>
        <w:t>Vir: Evropska komisija</w:t>
      </w:r>
    </w:p>
    <w:p w:rsidR="000C1893" w:rsidRPr="00595792" w:rsidRDefault="000C1893" w:rsidP="0059579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D7100" w:rsidRDefault="008D7100" w:rsidP="00595792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8D7100" w:rsidRDefault="008D7100" w:rsidP="00595792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8D7100" w:rsidRDefault="008D7100" w:rsidP="00595792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B459D4" w:rsidRPr="001A5714" w:rsidRDefault="000C1893" w:rsidP="0059579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1A5714">
        <w:rPr>
          <w:rFonts w:ascii="Arial" w:hAnsi="Arial" w:cs="Arial"/>
          <w:b/>
          <w:sz w:val="20"/>
          <w:szCs w:val="20"/>
          <w:lang w:val="sl-SI"/>
        </w:rPr>
        <w:lastRenderedPageBreak/>
        <w:t>Koristne informacije:</w:t>
      </w:r>
    </w:p>
    <w:p w:rsidR="000C1893" w:rsidRPr="00595792" w:rsidRDefault="000C1893" w:rsidP="0059579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C1893" w:rsidRPr="001A5714" w:rsidRDefault="003A2A18" w:rsidP="001A57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1A5714">
        <w:rPr>
          <w:rFonts w:ascii="Arial" w:hAnsi="Arial" w:cs="Arial"/>
          <w:sz w:val="20"/>
          <w:szCs w:val="20"/>
          <w:lang w:val="sl-SI"/>
        </w:rPr>
        <w:t>Sporočilo Evropske komisije o vzpostavitvi evropskega obrambnega sklada:</w:t>
      </w:r>
    </w:p>
    <w:p w:rsidR="003A2A18" w:rsidRPr="001A5714" w:rsidRDefault="00CB2A41" w:rsidP="001A57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="003A2A18" w:rsidRPr="001A5714">
          <w:rPr>
            <w:rStyle w:val="Hiperpovezava"/>
            <w:rFonts w:ascii="Arial" w:hAnsi="Arial" w:cs="Arial"/>
            <w:sz w:val="20"/>
            <w:szCs w:val="20"/>
            <w:lang w:val="sl-SI"/>
          </w:rPr>
          <w:t>https://ec.europa.eu/docsroom/documents/23605</w:t>
        </w:r>
      </w:hyperlink>
    </w:p>
    <w:p w:rsidR="003A2A18" w:rsidRPr="00595792" w:rsidRDefault="003A2A18" w:rsidP="0059579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A2A18" w:rsidRPr="001A5714" w:rsidRDefault="003A2A18" w:rsidP="001A57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1A5714">
        <w:rPr>
          <w:rFonts w:ascii="Arial" w:hAnsi="Arial" w:cs="Arial"/>
          <w:sz w:val="20"/>
          <w:szCs w:val="20"/>
          <w:lang w:val="sl-SI"/>
        </w:rPr>
        <w:t>Predlog uredbe:</w:t>
      </w:r>
    </w:p>
    <w:p w:rsidR="003A2A18" w:rsidRPr="001A5714" w:rsidRDefault="00CB2A41" w:rsidP="001A57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="003A2A18" w:rsidRPr="001A5714">
          <w:rPr>
            <w:rStyle w:val="Hiperpovezava"/>
            <w:rFonts w:ascii="Arial" w:hAnsi="Arial" w:cs="Arial"/>
            <w:sz w:val="20"/>
            <w:szCs w:val="20"/>
            <w:lang w:val="sl-SI"/>
          </w:rPr>
          <w:t>https://ec.europa.eu/docsroom/documents/23606</w:t>
        </w:r>
      </w:hyperlink>
    </w:p>
    <w:p w:rsidR="003A2A18" w:rsidRPr="00595792" w:rsidRDefault="003A2A18" w:rsidP="0059579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A2A18" w:rsidRPr="001A5714" w:rsidRDefault="003A2A18" w:rsidP="001A57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1A5714">
        <w:rPr>
          <w:rFonts w:ascii="Arial" w:hAnsi="Arial" w:cs="Arial"/>
          <w:sz w:val="20"/>
          <w:szCs w:val="20"/>
          <w:lang w:val="sl-SI"/>
        </w:rPr>
        <w:t>Razpis</w:t>
      </w:r>
      <w:r w:rsidR="001A5714">
        <w:rPr>
          <w:rFonts w:ascii="Arial" w:hAnsi="Arial" w:cs="Arial"/>
          <w:sz w:val="20"/>
          <w:szCs w:val="20"/>
          <w:lang w:val="sl-SI"/>
        </w:rPr>
        <w:t>i</w:t>
      </w:r>
      <w:r w:rsidRPr="001A5714">
        <w:rPr>
          <w:rFonts w:ascii="Arial" w:hAnsi="Arial" w:cs="Arial"/>
          <w:sz w:val="20"/>
          <w:szCs w:val="20"/>
          <w:lang w:val="sl-SI"/>
        </w:rPr>
        <w:t>:</w:t>
      </w:r>
    </w:p>
    <w:p w:rsidR="003A2A18" w:rsidRPr="001A5714" w:rsidRDefault="00CB2A41" w:rsidP="001A57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anchor="c,calls=hasForthcomingTopics/t/true/1/1/0/default-group&amp;hasOpenTopics/t/true/1/1/0/default-group&amp;allClosedTopics/t/true/0/1/0/default-group&amp;+PublicationDateLong/asc" w:history="1">
        <w:r w:rsidR="003A2A18" w:rsidRPr="001A5714">
          <w:rPr>
            <w:rStyle w:val="Hiperpovezava"/>
            <w:rFonts w:ascii="Arial" w:hAnsi="Arial" w:cs="Arial"/>
            <w:sz w:val="20"/>
            <w:szCs w:val="20"/>
            <w:lang w:val="sl-SI"/>
          </w:rPr>
          <w:t>http://ec.europa.eu/research/participants/portal/desktop/en/opportunities/pppa/index.html#c,calls=hasForthcomingTopics/t/true/1/1/0/default-group&amp;hasOpenTopics/t/true/1/1/0/default-group&amp;allClosedTopics/t/true/0/1/0/default-group&amp;+PublicationDateLong/asc</w:t>
        </w:r>
      </w:hyperlink>
    </w:p>
    <w:p w:rsidR="003A2A18" w:rsidRPr="00595792" w:rsidRDefault="003A2A18" w:rsidP="0059579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A2A18" w:rsidRPr="00595792" w:rsidRDefault="00711263" w:rsidP="0059579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95792">
        <w:rPr>
          <w:rFonts w:ascii="Arial" w:hAnsi="Arial" w:cs="Arial"/>
          <w:sz w:val="20"/>
          <w:szCs w:val="20"/>
          <w:lang w:val="sl-SI"/>
        </w:rPr>
        <w:t>Pripravila:</w:t>
      </w:r>
    </w:p>
    <w:p w:rsidR="00711263" w:rsidRPr="00595792" w:rsidRDefault="00711263" w:rsidP="0059579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95792">
        <w:rPr>
          <w:rFonts w:ascii="Arial" w:hAnsi="Arial" w:cs="Arial"/>
          <w:sz w:val="20"/>
          <w:szCs w:val="20"/>
          <w:lang w:val="sl-SI"/>
        </w:rPr>
        <w:t>Darja Kocbek</w:t>
      </w:r>
    </w:p>
    <w:sectPr w:rsidR="00711263" w:rsidRPr="00595792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342A2"/>
    <w:multiLevelType w:val="hybridMultilevel"/>
    <w:tmpl w:val="06AC3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672"/>
    <w:rsid w:val="000C1893"/>
    <w:rsid w:val="001A5714"/>
    <w:rsid w:val="001B132E"/>
    <w:rsid w:val="003076D8"/>
    <w:rsid w:val="003A2A18"/>
    <w:rsid w:val="00595792"/>
    <w:rsid w:val="00656194"/>
    <w:rsid w:val="00711263"/>
    <w:rsid w:val="008D7100"/>
    <w:rsid w:val="00B459D4"/>
    <w:rsid w:val="00B75FAB"/>
    <w:rsid w:val="00C25B2A"/>
    <w:rsid w:val="00C50672"/>
    <w:rsid w:val="00C62E68"/>
    <w:rsid w:val="00CB2A41"/>
    <w:rsid w:val="00DA547A"/>
    <w:rsid w:val="00DC2FB8"/>
    <w:rsid w:val="00F5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0672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A547A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C62E68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189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1893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povezava">
    <w:name w:val="Hyperlink"/>
    <w:basedOn w:val="Privzetapisavaodstavka"/>
    <w:uiPriority w:val="99"/>
    <w:unhideWhenUsed/>
    <w:rsid w:val="003A2A1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A571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A54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mrea">
    <w:name w:val="Table Grid"/>
    <w:basedOn w:val="Navadnatabela"/>
    <w:uiPriority w:val="59"/>
    <w:rsid w:val="00B75FA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portal/desktop/en/opportunities/pppa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ocsroom/documents/236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ocsroom/documents/2360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11</cp:revision>
  <dcterms:created xsi:type="dcterms:W3CDTF">2017-06-07T13:51:00Z</dcterms:created>
  <dcterms:modified xsi:type="dcterms:W3CDTF">2017-06-07T15:05:00Z</dcterms:modified>
</cp:coreProperties>
</file>