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63" w:rsidRPr="00467345" w:rsidRDefault="00AF4A63" w:rsidP="00AF4A6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A63" w:rsidRPr="00301C78" w:rsidRDefault="00AF4A63" w:rsidP="00AF4A6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F4A63" w:rsidRPr="00083714" w:rsidRDefault="00AF4A63" w:rsidP="00AF4A6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F4A63" w:rsidRDefault="00AF4A63" w:rsidP="00AF4A6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94 </w:t>
      </w:r>
      <w:r w:rsidRPr="00083714">
        <w:rPr>
          <w:b/>
        </w:rPr>
        <w:t>– 20</w:t>
      </w:r>
      <w:r>
        <w:rPr>
          <w:b/>
        </w:rPr>
        <w:t>23</w:t>
      </w:r>
    </w:p>
    <w:p w:rsidR="00AF4A63" w:rsidRDefault="00AF4A63" w:rsidP="00AF4A6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05.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433B5" w:rsidRDefault="00D84498" w:rsidP="00D84498">
      <w:pPr>
        <w:spacing w:before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Sprejeti sta revidirani uredbi o horizontalnih skupinskih izvzetjih za raziskave in razvoj ter za sporazume o specializaciji</w:t>
      </w:r>
    </w:p>
    <w:p w:rsidR="005433B5" w:rsidRDefault="005433B5" w:rsidP="00D84498">
      <w:pPr>
        <w:jc w:val="center"/>
        <w:rPr>
          <w:rFonts w:ascii="Arial" w:hAnsi="Arial"/>
          <w:b/>
          <w:i/>
          <w:sz w:val="22"/>
          <w:szCs w:val="22"/>
        </w:rPr>
      </w:pPr>
    </w:p>
    <w:p w:rsidR="00803DAA" w:rsidRPr="005433B5" w:rsidRDefault="00803DAA" w:rsidP="005433B5">
      <w:pPr>
        <w:jc w:val="both"/>
        <w:rPr>
          <w:rFonts w:ascii="Arial" w:hAnsi="Arial"/>
          <w:b/>
          <w:i/>
          <w:sz w:val="22"/>
          <w:szCs w:val="22"/>
        </w:rPr>
      </w:pPr>
      <w:r w:rsidRPr="005433B5">
        <w:rPr>
          <w:rFonts w:ascii="Arial" w:hAnsi="Arial"/>
          <w:b/>
          <w:i/>
          <w:sz w:val="22"/>
          <w:szCs w:val="22"/>
        </w:rPr>
        <w:t>Evropska komisija je sprejela revidirani uredbi o horizontalnih skupinskih izvzetjih za raziskave in razvoj ter za sporazume o specializaciji, skupaj z revidiranimi horizontalnimi smernicami. Uredbi o horizontalnih skupinskih izvzetjih pod določenimi pogoji izvzemata sporazume o raziskavah in razvoju ter specializaciji iz prepovedi iz člena 101(1) Pogodbe o delovanju Evropske unije. To pomeni, da za nekatere sporazume velja skupinsko izvzetje iz pravil konkurence. Člani lahko dobijo več informacij na SBRA.</w:t>
      </w:r>
    </w:p>
    <w:p w:rsidR="00803DAA" w:rsidRPr="005433B5" w:rsidRDefault="00803DAA" w:rsidP="005433B5">
      <w:pPr>
        <w:jc w:val="both"/>
        <w:rPr>
          <w:rFonts w:ascii="Arial" w:hAnsi="Arial"/>
          <w:sz w:val="20"/>
          <w:szCs w:val="20"/>
        </w:rPr>
      </w:pPr>
    </w:p>
    <w:p w:rsidR="00D84498" w:rsidRPr="005433B5" w:rsidRDefault="00704385" w:rsidP="005433B5">
      <w:pPr>
        <w:jc w:val="both"/>
        <w:rPr>
          <w:rFonts w:ascii="Arial" w:hAnsi="Arial"/>
          <w:b/>
          <w:sz w:val="20"/>
          <w:szCs w:val="20"/>
        </w:rPr>
      </w:pPr>
      <w:r w:rsidRPr="005433B5">
        <w:rPr>
          <w:rFonts w:ascii="Arial" w:hAnsi="Arial"/>
          <w:b/>
          <w:sz w:val="20"/>
          <w:szCs w:val="20"/>
        </w:rPr>
        <w:t>Tabela 1: Pregled sprememb</w:t>
      </w:r>
    </w:p>
    <w:p w:rsidR="00704385" w:rsidRPr="005433B5" w:rsidRDefault="00704385" w:rsidP="005433B5">
      <w:pPr>
        <w:jc w:val="both"/>
        <w:rPr>
          <w:rFonts w:ascii="Arial" w:hAnsi="Arial"/>
          <w:sz w:val="20"/>
          <w:szCs w:val="20"/>
        </w:rPr>
      </w:pP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704385" w:rsidRPr="005433B5" w:rsidTr="00704385">
        <w:tc>
          <w:tcPr>
            <w:tcW w:w="4606" w:type="dxa"/>
          </w:tcPr>
          <w:p w:rsidR="00704385" w:rsidRPr="005433B5" w:rsidRDefault="00704385" w:rsidP="005433B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433B5">
              <w:rPr>
                <w:rFonts w:ascii="Arial" w:hAnsi="Arial"/>
                <w:b/>
                <w:sz w:val="20"/>
                <w:szCs w:val="20"/>
              </w:rPr>
              <w:t>Sprememba</w:t>
            </w:r>
          </w:p>
        </w:tc>
        <w:tc>
          <w:tcPr>
            <w:tcW w:w="4606" w:type="dxa"/>
          </w:tcPr>
          <w:p w:rsidR="00704385" w:rsidRPr="005433B5" w:rsidRDefault="00704385" w:rsidP="005433B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433B5">
              <w:rPr>
                <w:rFonts w:ascii="Arial" w:hAnsi="Arial"/>
                <w:b/>
                <w:sz w:val="20"/>
                <w:szCs w:val="20"/>
              </w:rPr>
              <w:t>Kratek opis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704385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Razširitev področja uporabe uredbe o skupinskem izvzetju za sporazume o specializaciji</w:t>
            </w:r>
          </w:p>
        </w:tc>
        <w:tc>
          <w:tcPr>
            <w:tcW w:w="4606" w:type="dxa"/>
          </w:tcPr>
          <w:p w:rsidR="00704385" w:rsidRPr="00D84498" w:rsidRDefault="00704385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>Gre za razširitev na več vrst sporazumov o proizvodnji, sklenjenih med več kot dvema pogodbenima strankama. Poleg tega revidirana pravila uvajajo prožnejši pristop k izračunu tržnih deležev za namene uporabe skupinskega izvzetja in vključujejo tudi specifična navodila za njegovo uporabo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704385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Spremembe v zvezi z izračunom tržnih deležev za namene uporabe uredbe o skupinskem izvzetju za raziskave in razvoj</w:t>
            </w:r>
          </w:p>
        </w:tc>
        <w:tc>
          <w:tcPr>
            <w:tcW w:w="4606" w:type="dxa"/>
          </w:tcPr>
          <w:p w:rsidR="00704385" w:rsidRPr="00D84498" w:rsidRDefault="00704385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>Revidirana pravila dajejo večji poudarek varstvu konkurence na področju inovacij, zlasti v primerih, ko ni mogoče izračunati tržnih deležev, ter pooblastilu Komisije in nacionalnih organov, pristojnih za konkurenco, da odvzamejo ugodnost izvzetja v posameznih problematičnih primerih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704385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Posodobitev uvodnega poglavja smernic z najnovejšo sodno prakso</w:t>
            </w:r>
          </w:p>
        </w:tc>
        <w:tc>
          <w:tcPr>
            <w:tcW w:w="4606" w:type="dxa"/>
          </w:tcPr>
          <w:p w:rsidR="00704385" w:rsidRPr="00D84498" w:rsidRDefault="00704385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 xml:space="preserve">V tem poglavju so tudi nova navodila za uporabo člena 101 </w:t>
            </w:r>
            <w:r w:rsidR="00B658FE" w:rsidRPr="00D84498">
              <w:rPr>
                <w:rFonts w:ascii="Arial" w:hAnsi="Arial"/>
                <w:sz w:val="18"/>
                <w:szCs w:val="18"/>
              </w:rPr>
              <w:t>pogodbe EU</w:t>
            </w:r>
            <w:r w:rsidRPr="00D84498">
              <w:rPr>
                <w:rFonts w:ascii="Arial" w:hAnsi="Arial"/>
                <w:sz w:val="18"/>
                <w:szCs w:val="18"/>
              </w:rPr>
              <w:t xml:space="preserve"> za sporazume med skupnimi podjetji in njihovimi matičnimi družbami ter razširjena navodila za uporabo smernic za sporazume, ki vključujejo sodelovanje pri več kot eni vrsti dejavnosti (npr. proizvodnja in trgovanje)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Nov oddelek o sporazumih o souporabi infrastrukture za mobilne telekomunikacije</w:t>
            </w:r>
          </w:p>
        </w:tc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>Spremembe vključujejo seznam minimalnih pogojev, ki jih morajo podjetja izpolnjevati za zmanjšanje tveganja kršitve pravil konkurence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Razširitev in pojasnitev poglavja smernic o sporazumih o nabavi</w:t>
            </w:r>
          </w:p>
        </w:tc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>V revidiranem poglavju je pojasnjeno razlikovanje med skupno nabavo in karteli kupcev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Razširitev poglavja smernic o sporazumih o trgovanju</w:t>
            </w:r>
          </w:p>
        </w:tc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>Vključen je nov oddelek o konzorcijih ponudnikov ter navodil za razlikovanje med slednjimi in prikrojevanjem razpisnih ponudb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>Preoblikovanje in razširitev poglavja smernic o izmenjavi informacij</w:t>
            </w:r>
          </w:p>
        </w:tc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 xml:space="preserve">Revidirano poglavje med drugim vključuje dodatna navodila v zvezi s pojmom poslovno občutljivih informacij in vrstami izmenjave informacij, ki lahko </w:t>
            </w:r>
            <w:r w:rsidRPr="00D84498">
              <w:rPr>
                <w:rFonts w:ascii="Arial" w:hAnsi="Arial"/>
                <w:sz w:val="18"/>
                <w:szCs w:val="18"/>
              </w:rPr>
              <w:lastRenderedPageBreak/>
              <w:t>pomenijo omejevanje konkurence po cilju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lastRenderedPageBreak/>
              <w:t>Sprememba poglavja smernic o sporazumih o standardizaciji</w:t>
            </w:r>
          </w:p>
        </w:tc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 xml:space="preserve">Po novem razkritje najvišje združene licenčnine s strani pogodbenih strank sporazuma o standardizaciji ni </w:t>
            </w:r>
            <w:proofErr w:type="spellStart"/>
            <w:r w:rsidRPr="00D84498">
              <w:rPr>
                <w:rFonts w:ascii="Arial" w:hAnsi="Arial"/>
                <w:sz w:val="18"/>
                <w:szCs w:val="18"/>
              </w:rPr>
              <w:t>protikonkurenčno</w:t>
            </w:r>
            <w:proofErr w:type="spellEnd"/>
            <w:r w:rsidRPr="00D84498">
              <w:rPr>
                <w:rFonts w:ascii="Arial" w:hAnsi="Arial"/>
                <w:sz w:val="18"/>
                <w:szCs w:val="18"/>
              </w:rPr>
              <w:t xml:space="preserve"> in udeleženci morajo razkriti ustrezne pravice intelektualne lastnine</w:t>
            </w:r>
          </w:p>
        </w:tc>
      </w:tr>
      <w:tr w:rsidR="00704385" w:rsidRPr="005433B5" w:rsidTr="00704385"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84498">
              <w:rPr>
                <w:rFonts w:ascii="Arial" w:hAnsi="Arial"/>
                <w:b/>
                <w:sz w:val="18"/>
                <w:szCs w:val="18"/>
              </w:rPr>
              <w:t xml:space="preserve">Novo poglavje horizontalnih smernic zajema sporazume o </w:t>
            </w:r>
            <w:proofErr w:type="spellStart"/>
            <w:r w:rsidRPr="00D84498">
              <w:rPr>
                <w:rFonts w:ascii="Arial" w:hAnsi="Arial"/>
                <w:b/>
                <w:sz w:val="18"/>
                <w:szCs w:val="18"/>
              </w:rPr>
              <w:t>trajnostnosti</w:t>
            </w:r>
            <w:proofErr w:type="spellEnd"/>
          </w:p>
        </w:tc>
        <w:tc>
          <w:tcPr>
            <w:tcW w:w="4606" w:type="dxa"/>
          </w:tcPr>
          <w:p w:rsidR="00704385" w:rsidRPr="00D84498" w:rsidRDefault="00B658FE" w:rsidP="005433B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D84498">
              <w:rPr>
                <w:rFonts w:ascii="Arial" w:hAnsi="Arial"/>
                <w:sz w:val="18"/>
                <w:szCs w:val="18"/>
              </w:rPr>
              <w:t xml:space="preserve">V tem poglavju je pojasnjeno, da protimonopolna pravila ne ovirajo sporazumov med konkurenti s ciljem večanja </w:t>
            </w:r>
            <w:proofErr w:type="spellStart"/>
            <w:r w:rsidRPr="00D84498">
              <w:rPr>
                <w:rFonts w:ascii="Arial" w:hAnsi="Arial"/>
                <w:sz w:val="18"/>
                <w:szCs w:val="18"/>
              </w:rPr>
              <w:t>trajnostnosti</w:t>
            </w:r>
            <w:proofErr w:type="spellEnd"/>
          </w:p>
        </w:tc>
      </w:tr>
    </w:tbl>
    <w:p w:rsidR="00704385" w:rsidRPr="005433B5" w:rsidRDefault="00B658FE" w:rsidP="005433B5">
      <w:pPr>
        <w:jc w:val="both"/>
        <w:rPr>
          <w:rFonts w:ascii="Arial" w:hAnsi="Arial"/>
          <w:sz w:val="20"/>
          <w:szCs w:val="20"/>
        </w:rPr>
      </w:pPr>
      <w:r w:rsidRPr="005433B5">
        <w:rPr>
          <w:rFonts w:ascii="Arial" w:hAnsi="Arial"/>
          <w:sz w:val="20"/>
          <w:szCs w:val="20"/>
        </w:rPr>
        <w:t>Vir: Evropska komisija</w:t>
      </w:r>
    </w:p>
    <w:p w:rsidR="005433B5" w:rsidRDefault="005433B5" w:rsidP="005433B5">
      <w:pPr>
        <w:jc w:val="both"/>
        <w:rPr>
          <w:rFonts w:ascii="Arial" w:hAnsi="Arial"/>
          <w:sz w:val="20"/>
          <w:szCs w:val="20"/>
        </w:rPr>
      </w:pPr>
    </w:p>
    <w:p w:rsidR="00151C2E" w:rsidRPr="005433B5" w:rsidRDefault="00151C2E" w:rsidP="005433B5">
      <w:pPr>
        <w:jc w:val="both"/>
        <w:rPr>
          <w:rFonts w:ascii="Arial" w:hAnsi="Arial"/>
          <w:b/>
          <w:sz w:val="20"/>
          <w:szCs w:val="20"/>
        </w:rPr>
      </w:pPr>
      <w:r w:rsidRPr="005433B5">
        <w:rPr>
          <w:rFonts w:ascii="Arial" w:hAnsi="Arial"/>
          <w:b/>
          <w:sz w:val="20"/>
          <w:szCs w:val="20"/>
        </w:rPr>
        <w:t>Koristne informacije:</w:t>
      </w:r>
    </w:p>
    <w:p w:rsidR="005433B5" w:rsidRPr="005433B5" w:rsidRDefault="005433B5" w:rsidP="005433B5">
      <w:pPr>
        <w:jc w:val="both"/>
        <w:rPr>
          <w:rFonts w:ascii="Arial" w:hAnsi="Arial"/>
          <w:sz w:val="20"/>
          <w:szCs w:val="20"/>
        </w:rPr>
      </w:pPr>
    </w:p>
    <w:p w:rsidR="00151C2E" w:rsidRPr="005433B5" w:rsidRDefault="00151C2E" w:rsidP="005433B5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5433B5">
        <w:rPr>
          <w:rFonts w:ascii="Arial" w:hAnsi="Arial"/>
          <w:sz w:val="20"/>
          <w:szCs w:val="20"/>
        </w:rPr>
        <w:t>Sporočilo Evropske komisije s povezavami na spremembe:</w:t>
      </w:r>
    </w:p>
    <w:p w:rsidR="00151C2E" w:rsidRPr="005433B5" w:rsidRDefault="00151C2E" w:rsidP="005433B5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5433B5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https://ec.europa.eu/commission/presscorner/detail/sl/IP_23_2990</w:t>
        </w:r>
      </w:hyperlink>
    </w:p>
    <w:p w:rsidR="00151C2E" w:rsidRPr="005433B5" w:rsidRDefault="00151C2E" w:rsidP="005433B5">
      <w:pPr>
        <w:jc w:val="both"/>
        <w:rPr>
          <w:rFonts w:ascii="Arial" w:hAnsi="Arial"/>
          <w:sz w:val="20"/>
          <w:szCs w:val="20"/>
        </w:rPr>
      </w:pPr>
    </w:p>
    <w:p w:rsidR="00151C2E" w:rsidRPr="005433B5" w:rsidRDefault="00151C2E" w:rsidP="005433B5">
      <w:pPr>
        <w:jc w:val="both"/>
        <w:rPr>
          <w:rFonts w:ascii="Arial" w:hAnsi="Arial"/>
          <w:sz w:val="20"/>
          <w:szCs w:val="20"/>
        </w:rPr>
      </w:pPr>
      <w:r w:rsidRPr="005433B5">
        <w:rPr>
          <w:rFonts w:ascii="Arial" w:hAnsi="Arial"/>
          <w:sz w:val="20"/>
          <w:szCs w:val="20"/>
        </w:rPr>
        <w:t>Pripravila:</w:t>
      </w:r>
    </w:p>
    <w:p w:rsidR="00151C2E" w:rsidRPr="005433B5" w:rsidRDefault="00151C2E" w:rsidP="005433B5">
      <w:pPr>
        <w:jc w:val="both"/>
        <w:rPr>
          <w:rFonts w:ascii="Arial" w:hAnsi="Arial"/>
          <w:sz w:val="20"/>
          <w:szCs w:val="20"/>
        </w:rPr>
      </w:pPr>
      <w:r w:rsidRPr="005433B5">
        <w:rPr>
          <w:rFonts w:ascii="Arial" w:hAnsi="Arial"/>
          <w:sz w:val="20"/>
          <w:szCs w:val="20"/>
        </w:rPr>
        <w:t>Darja Kocbek</w:t>
      </w:r>
    </w:p>
    <w:p w:rsidR="00803DAA" w:rsidRPr="00803DAA" w:rsidRDefault="00803DAA" w:rsidP="00803DAA"/>
    <w:p w:rsidR="00142F07" w:rsidRPr="00803DAA" w:rsidRDefault="00142F07" w:rsidP="00803DAA"/>
    <w:sectPr w:rsidR="00142F07" w:rsidRPr="00803DAA" w:rsidSect="0014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248F8"/>
    <w:multiLevelType w:val="hybridMultilevel"/>
    <w:tmpl w:val="1A663B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DAA"/>
    <w:rsid w:val="00142F07"/>
    <w:rsid w:val="00151C2E"/>
    <w:rsid w:val="005433B5"/>
    <w:rsid w:val="00704385"/>
    <w:rsid w:val="00803DAA"/>
    <w:rsid w:val="00AF4A63"/>
    <w:rsid w:val="00B658FE"/>
    <w:rsid w:val="00D8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3DAA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AF4A63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04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70438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51C2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433B5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AF4A6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A63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4A63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IP_23_29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2023-06-01T12:22:00Z</dcterms:created>
  <dcterms:modified xsi:type="dcterms:W3CDTF">2023-06-01T12:46:00Z</dcterms:modified>
</cp:coreProperties>
</file>