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37" w:rsidRPr="00467345" w:rsidRDefault="00FD4F37" w:rsidP="00FD4F3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37" w:rsidRPr="00083714" w:rsidRDefault="00FD4F37" w:rsidP="00FD4F3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D4F37" w:rsidRPr="00083714" w:rsidRDefault="00FD4F37" w:rsidP="00FD4F3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D4F37" w:rsidRDefault="00FD4F37" w:rsidP="00FD4F37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94 </w:t>
      </w:r>
      <w:r w:rsidRPr="00083714">
        <w:rPr>
          <w:b/>
        </w:rPr>
        <w:t>– 20</w:t>
      </w:r>
      <w:r>
        <w:rPr>
          <w:b/>
        </w:rPr>
        <w:t>21</w:t>
      </w:r>
    </w:p>
    <w:p w:rsidR="00FD4F37" w:rsidRDefault="00FD4F37" w:rsidP="00FD4F37">
      <w:pPr>
        <w:tabs>
          <w:tab w:val="left" w:pos="3120"/>
        </w:tabs>
        <w:spacing w:after="0"/>
        <w:jc w:val="center"/>
        <w:rPr>
          <w:b/>
        </w:rPr>
      </w:pPr>
    </w:p>
    <w:p w:rsidR="00FD4F37" w:rsidRDefault="00FD4F37" w:rsidP="00FD4F37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D4F37" w:rsidRPr="00050C1F" w:rsidRDefault="00FD4F37" w:rsidP="00FD4F37">
      <w:pPr>
        <w:tabs>
          <w:tab w:val="left" w:pos="3120"/>
        </w:tabs>
        <w:spacing w:after="0"/>
        <w:jc w:val="center"/>
        <w:rPr>
          <w:b/>
        </w:rPr>
      </w:pPr>
    </w:p>
    <w:p w:rsidR="00FD4F37" w:rsidRDefault="00FD4F37" w:rsidP="00FD4F3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koledar informativnih dni o razpisih in temah programa Obzorje Evropa</w:t>
      </w:r>
    </w:p>
    <w:p w:rsidR="006900B6" w:rsidRPr="0053295C" w:rsidRDefault="009A34C4" w:rsidP="0053295C">
      <w:pPr>
        <w:jc w:val="both"/>
        <w:rPr>
          <w:rFonts w:ascii="Arial" w:hAnsi="Arial" w:cs="Arial"/>
          <w:b/>
          <w:i/>
        </w:rPr>
      </w:pPr>
      <w:r w:rsidRPr="0053295C">
        <w:rPr>
          <w:rFonts w:ascii="Arial" w:hAnsi="Arial" w:cs="Arial"/>
          <w:b/>
          <w:i/>
        </w:rPr>
        <w:t xml:space="preserve">Evropska komisija je objavila datume za prvi sklop informativnih dni na katerih bodo njeni izvedenci podali informacije </w:t>
      </w:r>
      <w:r w:rsidR="00213E8E">
        <w:rPr>
          <w:rFonts w:ascii="Arial" w:hAnsi="Arial" w:cs="Arial"/>
          <w:b/>
          <w:i/>
        </w:rPr>
        <w:t>novem</w:t>
      </w:r>
      <w:r w:rsidRPr="0053295C">
        <w:rPr>
          <w:rFonts w:ascii="Arial" w:hAnsi="Arial" w:cs="Arial"/>
          <w:b/>
          <w:i/>
        </w:rPr>
        <w:t xml:space="preserve"> program</w:t>
      </w:r>
      <w:r w:rsidR="00213E8E">
        <w:rPr>
          <w:rFonts w:ascii="Arial" w:hAnsi="Arial" w:cs="Arial"/>
          <w:b/>
          <w:i/>
        </w:rPr>
        <w:t>u</w:t>
      </w:r>
      <w:r w:rsidRPr="0053295C">
        <w:rPr>
          <w:rFonts w:ascii="Arial" w:hAnsi="Arial" w:cs="Arial"/>
          <w:b/>
          <w:i/>
        </w:rPr>
        <w:t xml:space="preserve"> za raziskave in inovacije Obzorje Evropa. Informativne dni bo organizirala kot </w:t>
      </w:r>
      <w:r w:rsidR="00213E8E">
        <w:rPr>
          <w:rFonts w:ascii="Arial" w:hAnsi="Arial" w:cs="Arial"/>
          <w:b/>
          <w:i/>
        </w:rPr>
        <w:t xml:space="preserve">10 </w:t>
      </w:r>
      <w:r w:rsidRPr="0053295C">
        <w:rPr>
          <w:rFonts w:ascii="Arial" w:hAnsi="Arial" w:cs="Arial"/>
          <w:b/>
          <w:i/>
        </w:rPr>
        <w:t>spletn</w:t>
      </w:r>
      <w:r w:rsidR="00213E8E">
        <w:rPr>
          <w:rFonts w:ascii="Arial" w:hAnsi="Arial" w:cs="Arial"/>
          <w:b/>
          <w:i/>
        </w:rPr>
        <w:t>ih</w:t>
      </w:r>
      <w:r w:rsidRPr="0053295C">
        <w:rPr>
          <w:rFonts w:ascii="Arial" w:hAnsi="Arial" w:cs="Arial"/>
          <w:b/>
          <w:i/>
        </w:rPr>
        <w:t xml:space="preserve"> dogodk</w:t>
      </w:r>
      <w:r w:rsidR="00213E8E">
        <w:rPr>
          <w:rFonts w:ascii="Arial" w:hAnsi="Arial" w:cs="Arial"/>
          <w:b/>
          <w:i/>
        </w:rPr>
        <w:t>ov</w:t>
      </w:r>
      <w:r w:rsidRPr="0053295C">
        <w:rPr>
          <w:rFonts w:ascii="Arial" w:hAnsi="Arial" w:cs="Arial"/>
          <w:b/>
          <w:i/>
        </w:rPr>
        <w:t xml:space="preserve"> med 28. junijem in 9. julijem. Udeleženci bodo imeli priložnost postavljati vprašanja o novostih programa, glavnih instrumentih financiranja in drugih temah, povezanih z razpisi. Člani lahko dobijo več informacij na SBRA.</w:t>
      </w:r>
    </w:p>
    <w:p w:rsidR="009A34C4" w:rsidRPr="0053295C" w:rsidRDefault="009A34C4" w:rsidP="0053295C">
      <w:pPr>
        <w:jc w:val="both"/>
        <w:rPr>
          <w:rFonts w:ascii="Arial" w:hAnsi="Arial" w:cs="Arial"/>
          <w:b/>
          <w:sz w:val="20"/>
          <w:szCs w:val="20"/>
        </w:rPr>
      </w:pPr>
      <w:r w:rsidRPr="0053295C">
        <w:rPr>
          <w:rFonts w:ascii="Arial" w:hAnsi="Arial" w:cs="Arial"/>
          <w:b/>
          <w:sz w:val="20"/>
          <w:szCs w:val="20"/>
        </w:rPr>
        <w:t>Tabela 1: Razpored informativnih dni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9A34C4" w:rsidRPr="0053295C" w:rsidTr="009A34C4">
        <w:tc>
          <w:tcPr>
            <w:tcW w:w="4606" w:type="dxa"/>
          </w:tcPr>
          <w:p w:rsidR="009A34C4" w:rsidRPr="001C05A0" w:rsidRDefault="009A34C4" w:rsidP="001C05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05A0">
              <w:rPr>
                <w:rFonts w:ascii="Arial" w:hAnsi="Arial" w:cs="Arial"/>
                <w:b/>
                <w:sz w:val="20"/>
                <w:szCs w:val="20"/>
              </w:rPr>
              <w:t>Datum informativnega dne</w:t>
            </w:r>
          </w:p>
        </w:tc>
        <w:tc>
          <w:tcPr>
            <w:tcW w:w="4606" w:type="dxa"/>
          </w:tcPr>
          <w:p w:rsidR="009A34C4" w:rsidRPr="0053295C" w:rsidRDefault="009A34C4" w:rsidP="005329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295C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>J</w:t>
            </w:r>
            <w:r w:rsidR="009A34C4" w:rsidRPr="001C05A0">
              <w:rPr>
                <w:rFonts w:ascii="Arial" w:hAnsi="Arial" w:cs="Arial"/>
                <w:sz w:val="20"/>
                <w:szCs w:val="20"/>
              </w:rPr>
              <w:t>unij</w:t>
            </w:r>
            <w:r w:rsidRPr="001C05A0">
              <w:rPr>
                <w:rFonts w:ascii="Arial" w:hAnsi="Arial" w:cs="Arial"/>
                <w:sz w:val="20"/>
                <w:szCs w:val="20"/>
              </w:rPr>
              <w:t xml:space="preserve"> 28.</w:t>
            </w:r>
          </w:p>
        </w:tc>
        <w:tc>
          <w:tcPr>
            <w:tcW w:w="4606" w:type="dxa"/>
          </w:tcPr>
          <w:p w:rsidR="009A34C4" w:rsidRPr="0053295C" w:rsidRDefault="009A34C4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>Infrastrukture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 xml:space="preserve">Junij </w:t>
            </w:r>
            <w:r w:rsidR="009A34C4" w:rsidRPr="001C05A0">
              <w:rPr>
                <w:rFonts w:ascii="Arial" w:hAnsi="Arial" w:cs="Arial"/>
                <w:sz w:val="20"/>
                <w:szCs w:val="20"/>
              </w:rPr>
              <w:t xml:space="preserve">20. in 30. </w:t>
            </w:r>
          </w:p>
        </w:tc>
        <w:tc>
          <w:tcPr>
            <w:tcW w:w="4606" w:type="dxa"/>
          </w:tcPr>
          <w:p w:rsidR="009A34C4" w:rsidRPr="0053295C" w:rsidRDefault="009A34C4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 xml:space="preserve">Grozd 4 </w:t>
            </w:r>
            <w:r w:rsidR="0053295C" w:rsidRPr="0053295C">
              <w:rPr>
                <w:rFonts w:ascii="Arial" w:hAnsi="Arial" w:cs="Arial"/>
                <w:sz w:val="20"/>
                <w:szCs w:val="20"/>
              </w:rPr>
              <w:t>(Digitalno področje, industrija in vesolje)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>J</w:t>
            </w:r>
            <w:r w:rsidR="009A34C4" w:rsidRPr="001C05A0">
              <w:rPr>
                <w:rFonts w:ascii="Arial" w:hAnsi="Arial" w:cs="Arial"/>
                <w:sz w:val="20"/>
                <w:szCs w:val="20"/>
              </w:rPr>
              <w:t>unij</w:t>
            </w:r>
            <w:r w:rsidRPr="001C05A0">
              <w:rPr>
                <w:rFonts w:ascii="Arial" w:hAnsi="Arial" w:cs="Arial"/>
                <w:sz w:val="20"/>
                <w:szCs w:val="20"/>
              </w:rPr>
              <w:t xml:space="preserve"> 30.</w:t>
            </w:r>
          </w:p>
        </w:tc>
        <w:tc>
          <w:tcPr>
            <w:tcW w:w="4606" w:type="dxa"/>
          </w:tcPr>
          <w:p w:rsidR="009A34C4" w:rsidRPr="0053295C" w:rsidRDefault="009A34C4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 xml:space="preserve">Grozd 3 </w:t>
            </w:r>
            <w:r w:rsidR="0053295C" w:rsidRPr="0053295C">
              <w:rPr>
                <w:rFonts w:ascii="Arial" w:hAnsi="Arial" w:cs="Arial"/>
                <w:sz w:val="20"/>
                <w:szCs w:val="20"/>
              </w:rPr>
              <w:t>(Civilna varnost za družbo)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>J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ulij </w:t>
            </w:r>
            <w:r w:rsidRPr="001C05A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>Grozd 2 (Kultura, ustvarjalnost in vključujoča družba)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>julij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5A0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 xml:space="preserve">Ukrepi Marie </w:t>
            </w:r>
            <w:proofErr w:type="spellStart"/>
            <w:r w:rsidRPr="0053295C">
              <w:rPr>
                <w:rFonts w:ascii="Arial" w:hAnsi="Arial" w:cs="Arial"/>
                <w:sz w:val="20"/>
                <w:szCs w:val="20"/>
              </w:rPr>
              <w:t>Skłodowska</w:t>
            </w:r>
            <w:proofErr w:type="spellEnd"/>
            <w:r w:rsidRPr="0053295C">
              <w:rPr>
                <w:rFonts w:ascii="Arial" w:hAnsi="Arial" w:cs="Arial"/>
                <w:sz w:val="20"/>
                <w:szCs w:val="20"/>
              </w:rPr>
              <w:t>-Curie – kaj je novo v programu Obzorje Evropa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>Julij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5A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>Grozd 1 (Zdravje)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 xml:space="preserve">Julij 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5. in 6. 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>Grozd 5 (Podnebje, energija in mobilnost)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 xml:space="preserve">Julij 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>7. in 8</w:t>
            </w:r>
            <w:r w:rsidRPr="001C05A0">
              <w:rPr>
                <w:rFonts w:ascii="Arial" w:hAnsi="Arial" w:cs="Arial"/>
                <w:sz w:val="20"/>
                <w:szCs w:val="20"/>
              </w:rPr>
              <w:t>.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 xml:space="preserve">Grozd 6 (Hrana, </w:t>
            </w:r>
            <w:proofErr w:type="spellStart"/>
            <w:r w:rsidRPr="0053295C">
              <w:rPr>
                <w:rFonts w:ascii="Arial" w:hAnsi="Arial" w:cs="Arial"/>
                <w:sz w:val="20"/>
                <w:szCs w:val="20"/>
              </w:rPr>
              <w:t>biogospodarstvo</w:t>
            </w:r>
            <w:proofErr w:type="spellEnd"/>
            <w:r w:rsidRPr="0053295C">
              <w:rPr>
                <w:rFonts w:ascii="Arial" w:hAnsi="Arial" w:cs="Arial"/>
                <w:sz w:val="20"/>
                <w:szCs w:val="20"/>
              </w:rPr>
              <w:t>, naravni viri, kmetijstvo in okolje)</w:t>
            </w:r>
          </w:p>
        </w:tc>
      </w:tr>
      <w:tr w:rsidR="009A34C4" w:rsidRPr="0053295C" w:rsidTr="009A34C4">
        <w:tc>
          <w:tcPr>
            <w:tcW w:w="4606" w:type="dxa"/>
          </w:tcPr>
          <w:p w:rsidR="009A34C4" w:rsidRPr="001C05A0" w:rsidRDefault="001C05A0" w:rsidP="001C05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05A0">
              <w:rPr>
                <w:rFonts w:ascii="Arial" w:hAnsi="Arial" w:cs="Arial"/>
                <w:sz w:val="20"/>
                <w:szCs w:val="20"/>
              </w:rPr>
              <w:t xml:space="preserve">Julij 9. </w:t>
            </w:r>
            <w:r w:rsidR="0053295C" w:rsidRPr="001C05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9A34C4" w:rsidRPr="0053295C" w:rsidRDefault="0053295C" w:rsidP="00532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95C">
              <w:rPr>
                <w:rFonts w:ascii="Arial" w:hAnsi="Arial" w:cs="Arial"/>
                <w:sz w:val="20"/>
                <w:szCs w:val="20"/>
              </w:rPr>
              <w:t>Evropski raziskovalni prostor (ERA) in razširitve možnosti sodelovanja</w:t>
            </w:r>
          </w:p>
        </w:tc>
      </w:tr>
    </w:tbl>
    <w:p w:rsidR="009A34C4" w:rsidRPr="0053295C" w:rsidRDefault="0053295C" w:rsidP="0053295C">
      <w:pPr>
        <w:jc w:val="both"/>
        <w:rPr>
          <w:rFonts w:ascii="Arial" w:hAnsi="Arial" w:cs="Arial"/>
          <w:sz w:val="20"/>
          <w:szCs w:val="20"/>
        </w:rPr>
      </w:pPr>
      <w:r w:rsidRPr="0053295C">
        <w:rPr>
          <w:rFonts w:ascii="Arial" w:hAnsi="Arial" w:cs="Arial"/>
          <w:sz w:val="20"/>
          <w:szCs w:val="20"/>
        </w:rPr>
        <w:t>Vir: Evropska komisija</w:t>
      </w:r>
    </w:p>
    <w:p w:rsidR="0053295C" w:rsidRPr="001C05A0" w:rsidRDefault="0053295C" w:rsidP="0053295C">
      <w:pPr>
        <w:jc w:val="both"/>
        <w:rPr>
          <w:rFonts w:ascii="Arial" w:hAnsi="Arial" w:cs="Arial"/>
          <w:b/>
          <w:sz w:val="20"/>
          <w:szCs w:val="20"/>
        </w:rPr>
      </w:pPr>
      <w:r w:rsidRPr="001C05A0">
        <w:rPr>
          <w:rFonts w:ascii="Arial" w:hAnsi="Arial" w:cs="Arial"/>
          <w:b/>
          <w:sz w:val="20"/>
          <w:szCs w:val="20"/>
        </w:rPr>
        <w:t>Koristne informacije:</w:t>
      </w:r>
    </w:p>
    <w:p w:rsidR="0053295C" w:rsidRPr="001C05A0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05A0">
        <w:rPr>
          <w:rFonts w:ascii="Arial" w:hAnsi="Arial" w:cs="Arial"/>
          <w:sz w:val="20"/>
          <w:szCs w:val="20"/>
        </w:rPr>
        <w:t>Program informativnih dni:</w:t>
      </w:r>
    </w:p>
    <w:p w:rsidR="0053295C" w:rsidRPr="001C05A0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C05A0">
          <w:rPr>
            <w:rStyle w:val="Hiperpovezava"/>
            <w:rFonts w:ascii="Arial" w:hAnsi="Arial" w:cs="Arial"/>
            <w:sz w:val="20"/>
            <w:szCs w:val="20"/>
          </w:rPr>
          <w:t>https://www.horizon-europe-infodays2021.eu/</w:t>
        </w:r>
      </w:hyperlink>
    </w:p>
    <w:p w:rsidR="0053295C" w:rsidRPr="001C05A0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05A0">
        <w:rPr>
          <w:rFonts w:ascii="Arial" w:hAnsi="Arial" w:cs="Arial"/>
          <w:sz w:val="20"/>
          <w:szCs w:val="20"/>
        </w:rPr>
        <w:t>Spletna stran programa Obzorje Evropa:</w:t>
      </w:r>
    </w:p>
    <w:p w:rsidR="0053295C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C05A0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https://ec.europa.eu/info/research-and-innovation/funding/funding-opportunities/funding-programmes-and-open-calls/horizon-europe_sl</w:t>
        </w:r>
      </w:hyperlink>
    </w:p>
    <w:p w:rsidR="00FD4F37" w:rsidRPr="001C05A0" w:rsidRDefault="00FD4F37" w:rsidP="00FD4F37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53295C" w:rsidRPr="001C05A0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05A0">
        <w:rPr>
          <w:rFonts w:ascii="Arial" w:hAnsi="Arial" w:cs="Arial"/>
          <w:sz w:val="20"/>
          <w:szCs w:val="20"/>
        </w:rPr>
        <w:lastRenderedPageBreak/>
        <w:t>Strateški program programa Obzorje Evropa 2021-2024:</w:t>
      </w:r>
    </w:p>
    <w:p w:rsidR="0053295C" w:rsidRPr="001C05A0" w:rsidRDefault="0053295C" w:rsidP="001C05A0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C05A0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https://ec.europa.eu/info/research-and-innovation/funding/funding-opportunities/funding-programmes-and-open-calls/horizon-europe/strategic-plan_sl</w:t>
        </w:r>
      </w:hyperlink>
    </w:p>
    <w:p w:rsidR="0053295C" w:rsidRPr="0053295C" w:rsidRDefault="0053295C" w:rsidP="001C05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95C">
        <w:rPr>
          <w:rFonts w:ascii="Arial" w:hAnsi="Arial" w:cs="Arial"/>
          <w:sz w:val="20"/>
          <w:szCs w:val="20"/>
        </w:rPr>
        <w:t>Pripravila:</w:t>
      </w:r>
    </w:p>
    <w:p w:rsidR="0053295C" w:rsidRPr="0053295C" w:rsidRDefault="0053295C" w:rsidP="001C05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3295C">
        <w:rPr>
          <w:rFonts w:ascii="Arial" w:hAnsi="Arial" w:cs="Arial"/>
          <w:sz w:val="20"/>
          <w:szCs w:val="20"/>
        </w:rPr>
        <w:t>Darja Kocbek</w:t>
      </w:r>
    </w:p>
    <w:p w:rsidR="0053295C" w:rsidRDefault="0053295C" w:rsidP="001C05A0">
      <w:pPr>
        <w:spacing w:after="0"/>
      </w:pPr>
    </w:p>
    <w:sectPr w:rsidR="0053295C" w:rsidSect="006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F5EC3"/>
    <w:multiLevelType w:val="hybridMultilevel"/>
    <w:tmpl w:val="1898C2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106D3"/>
    <w:multiLevelType w:val="hybridMultilevel"/>
    <w:tmpl w:val="FEDE48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F0E0E"/>
    <w:multiLevelType w:val="hybridMultilevel"/>
    <w:tmpl w:val="58F63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427B8"/>
    <w:multiLevelType w:val="hybridMultilevel"/>
    <w:tmpl w:val="3F004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4C4"/>
    <w:rsid w:val="001C05A0"/>
    <w:rsid w:val="00213E8E"/>
    <w:rsid w:val="0053295C"/>
    <w:rsid w:val="006900B6"/>
    <w:rsid w:val="009A34C4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00B6"/>
  </w:style>
  <w:style w:type="paragraph" w:styleId="Naslov2">
    <w:name w:val="heading 2"/>
    <w:basedOn w:val="Navaden"/>
    <w:link w:val="Naslov2Znak"/>
    <w:uiPriority w:val="9"/>
    <w:qFormat/>
    <w:rsid w:val="00FD4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A3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3295C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3295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3295C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FD4F3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4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funding/funding-opportunities/funding-programmes-and-open-calls/horizon-europe/strategic-plan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funding/funding-opportunities/funding-programmes-and-open-calls/horizon-europ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rizon-europe-infodays2021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2021-06-01T18:50:00Z</dcterms:created>
  <dcterms:modified xsi:type="dcterms:W3CDTF">2021-06-01T19:18:00Z</dcterms:modified>
</cp:coreProperties>
</file>