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0F" w:rsidRPr="004342AE" w:rsidRDefault="001E2C0F" w:rsidP="001E2C0F">
      <w:pPr>
        <w:tabs>
          <w:tab w:val="left" w:pos="2520"/>
          <w:tab w:val="left" w:pos="2700"/>
          <w:tab w:val="left" w:pos="3120"/>
        </w:tabs>
        <w:jc w:val="center"/>
      </w:pPr>
      <w:r w:rsidRPr="004342AE">
        <w:rPr>
          <w:noProof/>
          <w:lang w:val="en-US"/>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E2C0F" w:rsidRPr="004342AE" w:rsidRDefault="001E2C0F" w:rsidP="001E2C0F">
      <w:pPr>
        <w:pStyle w:val="Heading2"/>
        <w:tabs>
          <w:tab w:val="left" w:pos="3120"/>
        </w:tabs>
        <w:jc w:val="center"/>
        <w:rPr>
          <w:b w:val="0"/>
          <w:bCs w:val="0"/>
          <w:i/>
          <w:iCs/>
          <w:sz w:val="22"/>
        </w:rPr>
      </w:pPr>
      <w:r w:rsidRPr="004342AE">
        <w:rPr>
          <w:b w:val="0"/>
          <w:bCs w:val="0"/>
          <w:sz w:val="22"/>
        </w:rPr>
        <w:t>Slovensko gospodarsko in raziskovalno združenje, Bruselj</w:t>
      </w:r>
    </w:p>
    <w:p w:rsidR="001E2C0F" w:rsidRPr="004342AE" w:rsidRDefault="001E2C0F" w:rsidP="001E2C0F">
      <w:pPr>
        <w:pBdr>
          <w:bottom w:val="single" w:sz="6" w:space="1" w:color="auto"/>
        </w:pBdr>
        <w:tabs>
          <w:tab w:val="left" w:pos="3120"/>
        </w:tabs>
        <w:jc w:val="center"/>
        <w:rPr>
          <w:sz w:val="16"/>
          <w:szCs w:val="16"/>
        </w:rPr>
      </w:pPr>
    </w:p>
    <w:p w:rsidR="001E2C0F" w:rsidRPr="004342AE" w:rsidRDefault="001E2C0F" w:rsidP="001E2C0F">
      <w:pPr>
        <w:tabs>
          <w:tab w:val="left" w:pos="3120"/>
        </w:tabs>
        <w:jc w:val="center"/>
        <w:rPr>
          <w:rFonts w:ascii="Arial" w:hAnsi="Arial" w:cs="Arial"/>
          <w:b/>
        </w:rPr>
      </w:pPr>
      <w:r w:rsidRPr="004342AE">
        <w:rPr>
          <w:rFonts w:ascii="Arial" w:hAnsi="Arial" w:cs="Arial"/>
          <w:b/>
        </w:rPr>
        <w:t xml:space="preserve">Občasna informacija članom </w:t>
      </w:r>
      <w:r w:rsidR="00B009A4">
        <w:rPr>
          <w:rFonts w:ascii="Arial" w:hAnsi="Arial" w:cs="Arial"/>
          <w:b/>
        </w:rPr>
        <w:t>90</w:t>
      </w:r>
      <w:bookmarkStart w:id="0" w:name="_GoBack"/>
      <w:bookmarkEnd w:id="0"/>
      <w:r w:rsidRPr="004342AE">
        <w:rPr>
          <w:rFonts w:ascii="Arial" w:hAnsi="Arial" w:cs="Arial"/>
          <w:b/>
        </w:rPr>
        <w:t xml:space="preserve"> – 2018</w:t>
      </w:r>
    </w:p>
    <w:p w:rsidR="001E2C0F" w:rsidRPr="004342AE" w:rsidRDefault="001E2C0F" w:rsidP="001E2C0F">
      <w:pPr>
        <w:pStyle w:val="NoSpacing"/>
        <w:spacing w:after="100"/>
        <w:jc w:val="center"/>
        <w:rPr>
          <w:rFonts w:ascii="Arial" w:hAnsi="Arial" w:cs="Arial"/>
          <w:b/>
        </w:rPr>
      </w:pPr>
      <w:r>
        <w:rPr>
          <w:rFonts w:ascii="Arial" w:hAnsi="Arial" w:cs="Arial"/>
          <w:b/>
        </w:rPr>
        <w:t>04.</w:t>
      </w:r>
      <w:r w:rsidRPr="004342AE">
        <w:rPr>
          <w:rFonts w:ascii="Arial" w:hAnsi="Arial" w:cs="Arial"/>
          <w:b/>
        </w:rPr>
        <w:t xml:space="preserve"> </w:t>
      </w:r>
      <w:r>
        <w:rPr>
          <w:rFonts w:ascii="Arial" w:hAnsi="Arial" w:cs="Arial"/>
          <w:b/>
        </w:rPr>
        <w:t>junij</w:t>
      </w:r>
      <w:r w:rsidRPr="004342AE">
        <w:rPr>
          <w:rFonts w:ascii="Arial" w:hAnsi="Arial" w:cs="Arial"/>
          <w:b/>
        </w:rPr>
        <w:t xml:space="preserve"> 2018</w:t>
      </w:r>
    </w:p>
    <w:p w:rsidR="001E2C0F" w:rsidRDefault="001E2C0F" w:rsidP="001E2C0F">
      <w:pPr>
        <w:jc w:val="center"/>
        <w:rPr>
          <w:rFonts w:ascii="Arial" w:hAnsi="Arial" w:cs="Arial"/>
          <w:b/>
          <w:color w:val="993300"/>
          <w:sz w:val="32"/>
          <w:szCs w:val="32"/>
        </w:rPr>
      </w:pPr>
      <w:r>
        <w:rPr>
          <w:rFonts w:ascii="Arial" w:hAnsi="Arial" w:cs="Arial"/>
          <w:b/>
          <w:color w:val="993300"/>
          <w:sz w:val="32"/>
          <w:szCs w:val="32"/>
        </w:rPr>
        <w:t>Predlog novih pravil za zmanjšanje odpadnih plastičnih proizvodov za enkratno uporabo in ribolovnega orodja</w:t>
      </w:r>
    </w:p>
    <w:p w:rsidR="00B459D4" w:rsidRPr="00432AA2" w:rsidRDefault="00A81A63" w:rsidP="001E2C0F">
      <w:pPr>
        <w:rPr>
          <w:rFonts w:ascii="Arial" w:hAnsi="Arial" w:cs="Arial"/>
          <w:b/>
          <w:i/>
        </w:rPr>
      </w:pPr>
      <w:r w:rsidRPr="00432AA2">
        <w:rPr>
          <w:rFonts w:ascii="Arial" w:hAnsi="Arial" w:cs="Arial"/>
          <w:b/>
          <w:i/>
        </w:rPr>
        <w:t xml:space="preserve">Evropska komisija je pripravila nova pravila EU za zmanjševanje količine desetih najpogosteje najdenih plastičnih proizvodov za enkratno uporabo na evropskih obalah in v morjih ter za zmanjševanje količine izgubljenega in zavrženega ribolovnega orodja.  Za plastične proizvode, za katere so na voljo alternative, ki so cenovno dostopne, Evropska komisija predlaga prepoved. Za proizvode, za katere pa očitne alternative ne obstajajo, pa bodo države članice morale sprejeti ukrepe za omejitev njihove uporabe. Predlog novih pravil je Evropska komisija poslala v obravnavo in sprejem državam članicam v okviru Sveta EU in Evropskemu parlamentu. </w:t>
      </w:r>
    </w:p>
    <w:p w:rsidR="00A81A63" w:rsidRPr="00432AA2" w:rsidRDefault="00A81A63" w:rsidP="00432AA2">
      <w:pPr>
        <w:rPr>
          <w:rFonts w:ascii="Arial" w:hAnsi="Arial" w:cs="Arial"/>
          <w:sz w:val="20"/>
          <w:szCs w:val="20"/>
        </w:rPr>
      </w:pPr>
      <w:r w:rsidRPr="00432AA2">
        <w:rPr>
          <w:rFonts w:ascii="Arial" w:hAnsi="Arial" w:cs="Arial"/>
          <w:sz w:val="20"/>
          <w:szCs w:val="20"/>
        </w:rPr>
        <w:t>Evropska komisija predlaga prepoved za plastične vatirane palčke, plastični pribor, plastične krožnike, slamice, mešalne palčke za pijačo in palice za balone. Če bodo države članice in Evropski parlament  njen predlog sprejeli, jih bo namesto iz plastike treba izdelovati izključno iz bolj trajnostnih materialov. Plastični vsebniki za pijačo za enkratno uporabo bodo na trgu dovoljeni samo, če bodo njihovi pokrovčki in zamaški pritrjeni nanje. Države članice pa bodo morale sprejeti ukrepe za zmanjšanje uporabe plastičnih posod za živila in lončkov za pijačo.</w:t>
      </w:r>
    </w:p>
    <w:p w:rsidR="00A81A63" w:rsidRPr="00432AA2" w:rsidRDefault="00A81A63" w:rsidP="00432AA2">
      <w:pPr>
        <w:rPr>
          <w:rFonts w:ascii="Arial" w:hAnsi="Arial" w:cs="Arial"/>
          <w:sz w:val="20"/>
          <w:szCs w:val="20"/>
        </w:rPr>
      </w:pPr>
      <w:r w:rsidRPr="00432AA2">
        <w:rPr>
          <w:rFonts w:ascii="Arial" w:hAnsi="Arial" w:cs="Arial"/>
          <w:sz w:val="20"/>
          <w:szCs w:val="20"/>
        </w:rPr>
        <w:t>Evropska komisija v svojem predlogu predvideva tudi obveznosti za proizvajalce izdelkov iz plastike. Pokriti bodo morali stroške ravnanja z odpadki in za njihovo odstranjevanje ter sodelovati pri ukrepih ozaveščanja v zvezi s posodami za živila, zavitki in ovoji (na primer za čips in sladkarije), vsebniki za pijačo in lončki, tobačnimi izdelki s filtri (kot so cigaretni ogorki), vlažilnimi robčki, baloni in lahkimi plastičnimi vrečkami. Hkrati Evropska komisija industriji obljublja spodbude za razvoj okolju prijaznejših alternativ za te proizvode.</w:t>
      </w:r>
    </w:p>
    <w:p w:rsidR="00A81A63" w:rsidRPr="00432AA2" w:rsidRDefault="00A81A63" w:rsidP="00432AA2">
      <w:pPr>
        <w:rPr>
          <w:rFonts w:ascii="Arial" w:hAnsi="Arial" w:cs="Arial"/>
          <w:sz w:val="20"/>
          <w:szCs w:val="20"/>
        </w:rPr>
      </w:pPr>
      <w:r w:rsidRPr="00432AA2">
        <w:rPr>
          <w:rFonts w:ascii="Arial" w:hAnsi="Arial" w:cs="Arial"/>
          <w:sz w:val="20"/>
          <w:szCs w:val="20"/>
        </w:rPr>
        <w:t xml:space="preserve">Državam članicam želi Evropska komisija naložiti, da bodo morale do leta 2025 zbrati 90 odstotkov plastenk za pijačo, na primer s shemami za kavcijo. </w:t>
      </w:r>
      <w:r w:rsidR="00432AA2" w:rsidRPr="00432AA2">
        <w:rPr>
          <w:rFonts w:ascii="Arial" w:hAnsi="Arial" w:cs="Arial"/>
          <w:sz w:val="20"/>
          <w:szCs w:val="20"/>
        </w:rPr>
        <w:t>Potrošnike pa bodo morale ozaveščati o negativnem vplivu onesnaževanja okolja s plastičnimi proizvodi za enkratno uporabo in ribolovnim orodjem, kot tudi o razpoložljivih sistemih za ponovno uporabo in možnostih glede ravnanja z odpadki v zvezi z vsemi temi proizvodi.</w:t>
      </w:r>
    </w:p>
    <w:p w:rsidR="00432AA2" w:rsidRDefault="00432AA2" w:rsidP="00432AA2">
      <w:pPr>
        <w:rPr>
          <w:rFonts w:ascii="Arial" w:hAnsi="Arial" w:cs="Arial"/>
          <w:sz w:val="20"/>
          <w:szCs w:val="20"/>
        </w:rPr>
      </w:pPr>
      <w:r w:rsidRPr="00432AA2">
        <w:rPr>
          <w:rFonts w:ascii="Arial" w:hAnsi="Arial" w:cs="Arial"/>
          <w:sz w:val="20"/>
          <w:szCs w:val="20"/>
        </w:rPr>
        <w:t>Evropska Komisija namerava dopolniti obstoječi okvir politike s shemami odgovornosti proizvajalca v zvezi s plastičnim ribolovnim orodjem. Proizvajalci plastičnega ribolovnega orodja bodo morali kriti stroške zbiranja odpadkov iz pristaniških sprejemnih zmogljivosti ter njihovega transporta in ravnanja z njimi. Prav tako bodo krili stroške ukrepov ozaveščanja.</w:t>
      </w:r>
    </w:p>
    <w:p w:rsidR="00432AA2" w:rsidRPr="00432AA2" w:rsidRDefault="00432AA2" w:rsidP="00432AA2">
      <w:pPr>
        <w:rPr>
          <w:rFonts w:ascii="Arial" w:hAnsi="Arial" w:cs="Arial"/>
          <w:sz w:val="20"/>
          <w:szCs w:val="20"/>
        </w:rPr>
      </w:pPr>
      <w:r>
        <w:rPr>
          <w:rFonts w:ascii="Arial" w:hAnsi="Arial" w:cs="Arial"/>
          <w:sz w:val="20"/>
          <w:szCs w:val="20"/>
        </w:rPr>
        <w:t xml:space="preserve">Osnova za pripravo novih pravil Evropske komisije je evropska strategija za plastiko. </w:t>
      </w:r>
    </w:p>
    <w:p w:rsidR="00432AA2" w:rsidRPr="00432AA2" w:rsidRDefault="00432AA2" w:rsidP="00432AA2">
      <w:pPr>
        <w:rPr>
          <w:rFonts w:ascii="Arial" w:hAnsi="Arial" w:cs="Arial"/>
          <w:b/>
          <w:sz w:val="20"/>
          <w:szCs w:val="20"/>
        </w:rPr>
      </w:pPr>
      <w:r w:rsidRPr="00432AA2">
        <w:rPr>
          <w:rFonts w:ascii="Arial" w:hAnsi="Arial" w:cs="Arial"/>
          <w:b/>
          <w:sz w:val="20"/>
          <w:szCs w:val="20"/>
        </w:rPr>
        <w:lastRenderedPageBreak/>
        <w:t>Koristne informacije:</w:t>
      </w:r>
    </w:p>
    <w:p w:rsidR="00432AA2" w:rsidRPr="00432AA2" w:rsidRDefault="00432AA2" w:rsidP="00432AA2">
      <w:pPr>
        <w:pStyle w:val="ListParagraph"/>
        <w:numPr>
          <w:ilvl w:val="0"/>
          <w:numId w:val="1"/>
        </w:numPr>
        <w:rPr>
          <w:rFonts w:ascii="Arial" w:hAnsi="Arial" w:cs="Arial"/>
          <w:sz w:val="20"/>
          <w:szCs w:val="20"/>
        </w:rPr>
      </w:pPr>
      <w:r w:rsidRPr="00432AA2">
        <w:rPr>
          <w:rFonts w:ascii="Arial" w:hAnsi="Arial" w:cs="Arial"/>
          <w:sz w:val="20"/>
          <w:szCs w:val="20"/>
        </w:rPr>
        <w:t>Predlog direktive o zmanjšanju vpliva nekaterih plastičnih proizvodov na okolje:</w:t>
      </w:r>
    </w:p>
    <w:p w:rsidR="00432AA2" w:rsidRPr="00432AA2" w:rsidRDefault="00B009A4" w:rsidP="00432AA2">
      <w:pPr>
        <w:pStyle w:val="ListParagraph"/>
        <w:numPr>
          <w:ilvl w:val="0"/>
          <w:numId w:val="1"/>
        </w:numPr>
        <w:rPr>
          <w:rFonts w:ascii="Arial" w:hAnsi="Arial" w:cs="Arial"/>
          <w:sz w:val="20"/>
          <w:szCs w:val="20"/>
        </w:rPr>
      </w:pPr>
      <w:hyperlink r:id="rId7" w:history="1">
        <w:r w:rsidR="00432AA2" w:rsidRPr="00432AA2">
          <w:rPr>
            <w:rStyle w:val="Hyperlink"/>
            <w:rFonts w:ascii="Arial" w:hAnsi="Arial" w:cs="Arial"/>
            <w:sz w:val="20"/>
            <w:szCs w:val="20"/>
          </w:rPr>
          <w:t>http://ec.europa.eu/environment/circular-economy/pdf/single-use_plastics_proposal.pdf</w:t>
        </w:r>
      </w:hyperlink>
    </w:p>
    <w:p w:rsidR="00432AA2" w:rsidRPr="00432AA2" w:rsidRDefault="00432AA2" w:rsidP="00432AA2">
      <w:pPr>
        <w:pStyle w:val="ListParagraph"/>
        <w:numPr>
          <w:ilvl w:val="0"/>
          <w:numId w:val="1"/>
        </w:numPr>
        <w:rPr>
          <w:rFonts w:ascii="Arial" w:hAnsi="Arial" w:cs="Arial"/>
          <w:sz w:val="20"/>
          <w:szCs w:val="20"/>
        </w:rPr>
      </w:pPr>
      <w:r w:rsidRPr="00432AA2">
        <w:rPr>
          <w:rFonts w:ascii="Arial" w:hAnsi="Arial" w:cs="Arial"/>
          <w:sz w:val="20"/>
          <w:szCs w:val="20"/>
        </w:rPr>
        <w:t>Priloga k direktivi:</w:t>
      </w:r>
    </w:p>
    <w:p w:rsidR="00432AA2" w:rsidRPr="00432AA2" w:rsidRDefault="00B009A4" w:rsidP="00432AA2">
      <w:pPr>
        <w:pStyle w:val="ListParagraph"/>
        <w:numPr>
          <w:ilvl w:val="0"/>
          <w:numId w:val="1"/>
        </w:numPr>
        <w:rPr>
          <w:rFonts w:ascii="Arial" w:hAnsi="Arial" w:cs="Arial"/>
          <w:sz w:val="20"/>
          <w:szCs w:val="20"/>
        </w:rPr>
      </w:pPr>
      <w:hyperlink r:id="rId8" w:history="1">
        <w:r w:rsidR="00432AA2" w:rsidRPr="00432AA2">
          <w:rPr>
            <w:rStyle w:val="Hyperlink"/>
            <w:rFonts w:ascii="Arial" w:hAnsi="Arial" w:cs="Arial"/>
            <w:sz w:val="20"/>
            <w:szCs w:val="20"/>
          </w:rPr>
          <w:t>http://ec.europa.eu/environment/circular-economy/pdf/single-use_plastics_proposal_annex.pdf</w:t>
        </w:r>
      </w:hyperlink>
    </w:p>
    <w:p w:rsidR="00432AA2" w:rsidRPr="00432AA2" w:rsidRDefault="00432AA2" w:rsidP="00432AA2">
      <w:pPr>
        <w:pStyle w:val="ListParagraph"/>
        <w:numPr>
          <w:ilvl w:val="0"/>
          <w:numId w:val="1"/>
        </w:numPr>
        <w:rPr>
          <w:rFonts w:ascii="Arial" w:hAnsi="Arial" w:cs="Arial"/>
          <w:sz w:val="20"/>
          <w:szCs w:val="20"/>
        </w:rPr>
      </w:pPr>
      <w:r w:rsidRPr="00432AA2">
        <w:rPr>
          <w:rFonts w:ascii="Arial" w:hAnsi="Arial" w:cs="Arial"/>
          <w:sz w:val="20"/>
          <w:szCs w:val="20"/>
        </w:rPr>
        <w:t>Ocena učinka:</w:t>
      </w:r>
    </w:p>
    <w:p w:rsidR="00432AA2" w:rsidRPr="00432AA2" w:rsidRDefault="00B009A4" w:rsidP="00432AA2">
      <w:pPr>
        <w:pStyle w:val="ListParagraph"/>
        <w:numPr>
          <w:ilvl w:val="0"/>
          <w:numId w:val="1"/>
        </w:numPr>
        <w:rPr>
          <w:rFonts w:ascii="Arial" w:hAnsi="Arial" w:cs="Arial"/>
          <w:sz w:val="20"/>
          <w:szCs w:val="20"/>
        </w:rPr>
      </w:pPr>
      <w:hyperlink r:id="rId9" w:history="1">
        <w:r w:rsidR="00432AA2" w:rsidRPr="00432AA2">
          <w:rPr>
            <w:rStyle w:val="Hyperlink"/>
            <w:rFonts w:ascii="Arial" w:hAnsi="Arial" w:cs="Arial"/>
            <w:sz w:val="20"/>
            <w:szCs w:val="20"/>
          </w:rPr>
          <w:t>http://ec.europa.eu/environment/circular-economy/pdf/single-use_plastics_impact_assessment.pdf</w:t>
        </w:r>
      </w:hyperlink>
    </w:p>
    <w:p w:rsidR="00432AA2" w:rsidRPr="00432AA2" w:rsidRDefault="00432AA2" w:rsidP="00432AA2">
      <w:pPr>
        <w:pStyle w:val="ListParagraph"/>
        <w:numPr>
          <w:ilvl w:val="0"/>
          <w:numId w:val="1"/>
        </w:numPr>
        <w:rPr>
          <w:rFonts w:ascii="Arial" w:hAnsi="Arial" w:cs="Arial"/>
          <w:sz w:val="20"/>
          <w:szCs w:val="20"/>
        </w:rPr>
      </w:pPr>
      <w:r w:rsidRPr="00432AA2">
        <w:rPr>
          <w:rFonts w:ascii="Arial" w:hAnsi="Arial" w:cs="Arial"/>
          <w:sz w:val="20"/>
          <w:szCs w:val="20"/>
        </w:rPr>
        <w:t>Predlog za ribolovno orodje:</w:t>
      </w:r>
    </w:p>
    <w:p w:rsidR="00432AA2" w:rsidRPr="00432AA2" w:rsidRDefault="00B009A4" w:rsidP="00432AA2">
      <w:pPr>
        <w:pStyle w:val="ListParagraph"/>
        <w:numPr>
          <w:ilvl w:val="0"/>
          <w:numId w:val="1"/>
        </w:numPr>
        <w:rPr>
          <w:rFonts w:ascii="Arial" w:hAnsi="Arial" w:cs="Arial"/>
          <w:sz w:val="20"/>
          <w:szCs w:val="20"/>
        </w:rPr>
      </w:pPr>
      <w:hyperlink r:id="rId10" w:history="1">
        <w:r w:rsidR="00432AA2" w:rsidRPr="00432AA2">
          <w:rPr>
            <w:rStyle w:val="Hyperlink"/>
            <w:rFonts w:ascii="Arial" w:hAnsi="Arial" w:cs="Arial"/>
            <w:sz w:val="20"/>
            <w:szCs w:val="20"/>
          </w:rPr>
          <w:t>https://ec.europa.eu/fisheries/new-proposal-will-tackle-marine-litter-and-%E2%80%9Cghost-fishing%E2%80%9D_en</w:t>
        </w:r>
      </w:hyperlink>
    </w:p>
    <w:p w:rsidR="00432AA2" w:rsidRPr="00432AA2" w:rsidRDefault="00432AA2" w:rsidP="00432AA2">
      <w:pPr>
        <w:pStyle w:val="ListParagraph"/>
        <w:numPr>
          <w:ilvl w:val="0"/>
          <w:numId w:val="1"/>
        </w:numPr>
        <w:rPr>
          <w:rFonts w:ascii="Arial" w:hAnsi="Arial" w:cs="Arial"/>
          <w:sz w:val="20"/>
          <w:szCs w:val="20"/>
        </w:rPr>
      </w:pPr>
      <w:r w:rsidRPr="00432AA2">
        <w:rPr>
          <w:rFonts w:ascii="Arial" w:hAnsi="Arial" w:cs="Arial"/>
          <w:sz w:val="20"/>
          <w:szCs w:val="20"/>
        </w:rPr>
        <w:t>Evropska strategija za plastiko:</w:t>
      </w:r>
    </w:p>
    <w:p w:rsidR="00432AA2" w:rsidRPr="00432AA2" w:rsidRDefault="00B009A4" w:rsidP="00432AA2">
      <w:pPr>
        <w:pStyle w:val="ListParagraph"/>
        <w:numPr>
          <w:ilvl w:val="0"/>
          <w:numId w:val="1"/>
        </w:numPr>
        <w:rPr>
          <w:rFonts w:ascii="Arial" w:hAnsi="Arial" w:cs="Arial"/>
          <w:sz w:val="20"/>
          <w:szCs w:val="20"/>
        </w:rPr>
      </w:pPr>
      <w:hyperlink r:id="rId11" w:history="1">
        <w:r w:rsidR="00432AA2" w:rsidRPr="00432AA2">
          <w:rPr>
            <w:rStyle w:val="Hyperlink"/>
            <w:rFonts w:ascii="Arial" w:hAnsi="Arial" w:cs="Arial"/>
            <w:sz w:val="20"/>
            <w:szCs w:val="20"/>
          </w:rPr>
          <w:t>http://ec.europa.eu/environment/circular-economy/pdf/plastics-strategy.pdf</w:t>
        </w:r>
      </w:hyperlink>
      <w:r w:rsidR="00432AA2" w:rsidRPr="00432AA2">
        <w:rPr>
          <w:rFonts w:ascii="Arial" w:hAnsi="Arial" w:cs="Arial"/>
          <w:sz w:val="20"/>
          <w:szCs w:val="20"/>
        </w:rPr>
        <w:t xml:space="preserve"> </w:t>
      </w:r>
    </w:p>
    <w:p w:rsidR="00432AA2" w:rsidRPr="00432AA2" w:rsidRDefault="00432AA2" w:rsidP="00432AA2">
      <w:pPr>
        <w:rPr>
          <w:rFonts w:ascii="Arial" w:hAnsi="Arial" w:cs="Arial"/>
          <w:sz w:val="20"/>
          <w:szCs w:val="20"/>
        </w:rPr>
      </w:pPr>
      <w:r w:rsidRPr="00432AA2">
        <w:rPr>
          <w:rFonts w:ascii="Arial" w:hAnsi="Arial" w:cs="Arial"/>
          <w:sz w:val="20"/>
          <w:szCs w:val="20"/>
        </w:rPr>
        <w:t>Pripravila:</w:t>
      </w:r>
    </w:p>
    <w:p w:rsidR="00432AA2" w:rsidRPr="00432AA2" w:rsidRDefault="00432AA2" w:rsidP="00432AA2">
      <w:pPr>
        <w:rPr>
          <w:rFonts w:ascii="Arial" w:hAnsi="Arial" w:cs="Arial"/>
          <w:sz w:val="20"/>
          <w:szCs w:val="20"/>
        </w:rPr>
      </w:pPr>
      <w:r w:rsidRPr="00432AA2">
        <w:rPr>
          <w:rFonts w:ascii="Arial" w:hAnsi="Arial" w:cs="Arial"/>
          <w:sz w:val="20"/>
          <w:szCs w:val="20"/>
        </w:rPr>
        <w:t>Darja Kocbek</w:t>
      </w:r>
    </w:p>
    <w:p w:rsidR="00432AA2" w:rsidRDefault="00432AA2"/>
    <w:sectPr w:rsidR="00432AA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263"/>
    <w:multiLevelType w:val="hybridMultilevel"/>
    <w:tmpl w:val="89F4E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81A63"/>
    <w:rsid w:val="001E2C0F"/>
    <w:rsid w:val="00432AA2"/>
    <w:rsid w:val="00875BC3"/>
    <w:rsid w:val="00A81A63"/>
    <w:rsid w:val="00B009A4"/>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1E2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1A63"/>
    <w:rPr>
      <w:i/>
      <w:iCs/>
    </w:rPr>
  </w:style>
  <w:style w:type="character" w:styleId="Strong">
    <w:name w:val="Strong"/>
    <w:basedOn w:val="DefaultParagraphFont"/>
    <w:uiPriority w:val="22"/>
    <w:qFormat/>
    <w:rsid w:val="00A81A63"/>
    <w:rPr>
      <w:b/>
      <w:bCs/>
    </w:rPr>
  </w:style>
  <w:style w:type="character" w:styleId="Hyperlink">
    <w:name w:val="Hyperlink"/>
    <w:basedOn w:val="DefaultParagraphFont"/>
    <w:uiPriority w:val="99"/>
    <w:unhideWhenUsed/>
    <w:rsid w:val="00432AA2"/>
    <w:rPr>
      <w:color w:val="0000FF"/>
      <w:u w:val="single"/>
    </w:rPr>
  </w:style>
  <w:style w:type="paragraph" w:styleId="ListParagraph">
    <w:name w:val="List Paragraph"/>
    <w:basedOn w:val="Normal"/>
    <w:uiPriority w:val="34"/>
    <w:qFormat/>
    <w:rsid w:val="00432AA2"/>
    <w:pPr>
      <w:ind w:left="720"/>
      <w:contextualSpacing/>
    </w:pPr>
  </w:style>
  <w:style w:type="character" w:customStyle="1" w:styleId="Heading2Char">
    <w:name w:val="Heading 2 Char"/>
    <w:basedOn w:val="DefaultParagraphFont"/>
    <w:link w:val="Heading2"/>
    <w:uiPriority w:val="9"/>
    <w:rsid w:val="001E2C0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E2C0F"/>
    <w:pPr>
      <w:spacing w:after="0"/>
    </w:pPr>
  </w:style>
  <w:style w:type="paragraph" w:styleId="BalloonText">
    <w:name w:val="Balloon Text"/>
    <w:basedOn w:val="Normal"/>
    <w:link w:val="BalloonTextChar"/>
    <w:uiPriority w:val="99"/>
    <w:semiHidden/>
    <w:unhideWhenUsed/>
    <w:rsid w:val="001E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circular-economy/pdf/single-use_plastics_proposal_annex.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c.europa.eu/environment/circular-economy/pdf/single-use_plastics_propos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c.europa.eu/environment/circular-economy/pdf/plastics-strategy.pdf" TargetMode="External"/><Relationship Id="rId5" Type="http://schemas.openxmlformats.org/officeDocument/2006/relationships/webSettings" Target="webSettings.xml"/><Relationship Id="rId10" Type="http://schemas.openxmlformats.org/officeDocument/2006/relationships/hyperlink" Target="https://ec.europa.eu/fisheries/new-proposal-will-tackle-marine-litter-and-%E2%80%9Cghost-fishing%E2%80%9D_en" TargetMode="External"/><Relationship Id="rId4" Type="http://schemas.openxmlformats.org/officeDocument/2006/relationships/settings" Target="settings.xml"/><Relationship Id="rId9" Type="http://schemas.openxmlformats.org/officeDocument/2006/relationships/hyperlink" Target="http://ec.europa.eu/environment/circular-economy/pdf/single-use_plastics_impact_assessment.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2018-05-29T11:07:00Z</dcterms:created>
  <dcterms:modified xsi:type="dcterms:W3CDTF">2018-05-31T15:31:00Z</dcterms:modified>
</cp:coreProperties>
</file>