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A1F" w:rsidRPr="00083714" w:rsidRDefault="00453A1F" w:rsidP="00453A1F">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53A1F" w:rsidRPr="00083714" w:rsidRDefault="00453A1F" w:rsidP="00453A1F">
      <w:pPr>
        <w:pStyle w:val="Naslov2"/>
        <w:tabs>
          <w:tab w:val="left" w:pos="3120"/>
        </w:tabs>
        <w:spacing w:before="240"/>
        <w:jc w:val="center"/>
        <w:rPr>
          <w:b w:val="0"/>
          <w:bCs w:val="0"/>
          <w:i/>
          <w:iCs/>
          <w:sz w:val="22"/>
        </w:rPr>
      </w:pPr>
      <w:r w:rsidRPr="00083714">
        <w:rPr>
          <w:sz w:val="22"/>
        </w:rPr>
        <w:t>Slovensko gospodarsko in raziskovalno združenje, Bruselj</w:t>
      </w:r>
    </w:p>
    <w:p w:rsidR="00453A1F" w:rsidRPr="00083714" w:rsidRDefault="00453A1F" w:rsidP="00453A1F">
      <w:pPr>
        <w:pBdr>
          <w:bottom w:val="single" w:sz="6" w:space="1" w:color="auto"/>
        </w:pBdr>
        <w:tabs>
          <w:tab w:val="left" w:pos="3120"/>
        </w:tabs>
        <w:spacing w:before="240"/>
        <w:jc w:val="center"/>
        <w:rPr>
          <w:sz w:val="16"/>
          <w:szCs w:val="16"/>
        </w:rPr>
      </w:pPr>
    </w:p>
    <w:p w:rsidR="00453A1F" w:rsidRDefault="00453A1F" w:rsidP="00453A1F">
      <w:pPr>
        <w:tabs>
          <w:tab w:val="left" w:pos="3120"/>
        </w:tabs>
        <w:spacing w:before="240"/>
        <w:rPr>
          <w:b/>
        </w:rPr>
      </w:pPr>
      <w:r w:rsidRPr="00083714">
        <w:rPr>
          <w:b/>
        </w:rPr>
        <w:tab/>
      </w:r>
      <w:r>
        <w:rPr>
          <w:b/>
        </w:rPr>
        <w:t>Občasna informacija članom 87</w:t>
      </w:r>
      <w:r w:rsidRPr="00083714">
        <w:rPr>
          <w:b/>
        </w:rPr>
        <w:t xml:space="preserve"> – 20</w:t>
      </w:r>
      <w:r>
        <w:rPr>
          <w:b/>
        </w:rPr>
        <w:t>20</w:t>
      </w:r>
    </w:p>
    <w:p w:rsidR="00453A1F" w:rsidRPr="00083714" w:rsidRDefault="00453A1F" w:rsidP="00453A1F">
      <w:pPr>
        <w:tabs>
          <w:tab w:val="left" w:pos="3120"/>
        </w:tabs>
        <w:spacing w:before="240"/>
        <w:jc w:val="center"/>
        <w:rPr>
          <w:b/>
        </w:rPr>
      </w:pPr>
      <w:r>
        <w:rPr>
          <w:b/>
        </w:rPr>
        <w:t xml:space="preserve">01. junij </w:t>
      </w:r>
      <w:r w:rsidRPr="00083714">
        <w:rPr>
          <w:b/>
        </w:rPr>
        <w:t xml:space="preserve"> 20</w:t>
      </w:r>
      <w:r>
        <w:rPr>
          <w:b/>
        </w:rPr>
        <w:t>20</w:t>
      </w:r>
    </w:p>
    <w:p w:rsidR="00B57AE5" w:rsidRDefault="00CE65BE" w:rsidP="00CE65BE">
      <w:pPr>
        <w:jc w:val="center"/>
        <w:rPr>
          <w:rFonts w:ascii="Arial" w:hAnsi="Arial" w:cs="Arial"/>
          <w:b/>
          <w:i/>
        </w:rPr>
      </w:pPr>
      <w:r>
        <w:rPr>
          <w:b/>
          <w:color w:val="993300"/>
          <w:sz w:val="32"/>
          <w:szCs w:val="32"/>
        </w:rPr>
        <w:t>Evropska komisija je objavila predlog načrta za okrevanje</w:t>
      </w:r>
    </w:p>
    <w:p w:rsidR="002F0941" w:rsidRPr="006E2194" w:rsidRDefault="002F0941" w:rsidP="006E2194">
      <w:pPr>
        <w:jc w:val="both"/>
        <w:rPr>
          <w:rFonts w:ascii="Arial" w:hAnsi="Arial" w:cs="Arial"/>
          <w:b/>
          <w:i/>
        </w:rPr>
      </w:pPr>
      <w:r w:rsidRPr="006E2194">
        <w:rPr>
          <w:rFonts w:ascii="Arial" w:hAnsi="Arial" w:cs="Arial"/>
          <w:b/>
          <w:i/>
        </w:rPr>
        <w:t xml:space="preserve">Evropska komisija je predstavila predlog načrta za okrevanje, katerega osrednji del je nov instrument za okrevanje </w:t>
      </w:r>
      <w:proofErr w:type="spellStart"/>
      <w:r w:rsidRPr="006E2194">
        <w:rPr>
          <w:rFonts w:ascii="Arial" w:hAnsi="Arial" w:cs="Arial"/>
          <w:b/>
          <w:i/>
        </w:rPr>
        <w:t>NextGenerationEU</w:t>
      </w:r>
      <w:proofErr w:type="spellEnd"/>
      <w:r w:rsidRPr="006E2194">
        <w:rPr>
          <w:rFonts w:ascii="Arial" w:hAnsi="Arial" w:cs="Arial"/>
          <w:b/>
          <w:i/>
        </w:rPr>
        <w:t xml:space="preserve">, ki naj bi bil vključen v večletni proračun EU za obdobje 2021-2027. Prek instrumenta za okrevanje naj bi bilo na voljo 750 milijard evrov, </w:t>
      </w:r>
      <w:r w:rsidR="004E7295" w:rsidRPr="006E2194">
        <w:rPr>
          <w:rFonts w:ascii="Arial" w:hAnsi="Arial" w:cs="Arial"/>
          <w:b/>
          <w:i/>
        </w:rPr>
        <w:t>od tega naj bi Slovenija imela na voljo  5,071 milijarde evrov</w:t>
      </w:r>
      <w:r w:rsidRPr="006E2194">
        <w:rPr>
          <w:rFonts w:ascii="Arial" w:hAnsi="Arial" w:cs="Arial"/>
          <w:b/>
          <w:i/>
        </w:rPr>
        <w:t>. Za večletni proračun EU pa Evropska</w:t>
      </w:r>
      <w:r w:rsidR="004E7295" w:rsidRPr="006E2194">
        <w:rPr>
          <w:rFonts w:ascii="Arial" w:hAnsi="Arial" w:cs="Arial"/>
          <w:b/>
          <w:i/>
        </w:rPr>
        <w:t xml:space="preserve"> komisija predlaga 1100 </w:t>
      </w:r>
      <w:r w:rsidRPr="006E2194">
        <w:rPr>
          <w:rFonts w:ascii="Arial" w:hAnsi="Arial" w:cs="Arial"/>
          <w:b/>
          <w:i/>
        </w:rPr>
        <w:t>milijard evrov.</w:t>
      </w:r>
      <w:r w:rsidR="00690380" w:rsidRPr="006E2194">
        <w:rPr>
          <w:rFonts w:ascii="Arial" w:hAnsi="Arial" w:cs="Arial"/>
          <w:b/>
          <w:i/>
        </w:rPr>
        <w:t xml:space="preserve"> Predlagani sveženj je Evropska komisija poslala v obravnavo in sprejem državam članicam v okviru Sveta EU in Evropskemu parlamentu. Člani lahko več informacij dobijo na SBRA.</w:t>
      </w:r>
    </w:p>
    <w:p w:rsidR="00690380" w:rsidRPr="006E2194" w:rsidRDefault="004E7295" w:rsidP="006E2194">
      <w:pPr>
        <w:jc w:val="both"/>
        <w:rPr>
          <w:rFonts w:ascii="Arial" w:hAnsi="Arial" w:cs="Arial"/>
          <w:sz w:val="20"/>
          <w:szCs w:val="20"/>
        </w:rPr>
      </w:pPr>
      <w:r w:rsidRPr="006E2194">
        <w:rPr>
          <w:rFonts w:ascii="Arial" w:hAnsi="Arial" w:cs="Arial"/>
          <w:sz w:val="20"/>
          <w:szCs w:val="20"/>
        </w:rPr>
        <w:t>Prek Instrumenta za okrevanje v vrednosti 750 milijard evrov naj bi bilo na voljo 500 milijard evrov nepovratnih sredstev in 250 milijard evrov posojil. Slovenija naj bi imela od 5,071 milijarde evrov na voljo 2,579 milijarde evrov nepovratnih sredstev in 2,492 milijarde evrov pa za posojila.</w:t>
      </w:r>
    </w:p>
    <w:p w:rsidR="004E7295" w:rsidRPr="006E2194" w:rsidRDefault="004E7295" w:rsidP="006E2194">
      <w:pPr>
        <w:jc w:val="both"/>
        <w:rPr>
          <w:rFonts w:ascii="Arial" w:hAnsi="Arial" w:cs="Arial"/>
          <w:sz w:val="20"/>
          <w:szCs w:val="20"/>
        </w:rPr>
      </w:pPr>
      <w:r w:rsidRPr="006E2194">
        <w:rPr>
          <w:rFonts w:ascii="Arial" w:hAnsi="Arial" w:cs="Arial"/>
          <w:sz w:val="20"/>
          <w:szCs w:val="20"/>
        </w:rPr>
        <w:t xml:space="preserve">Instrument za okrevanje naj bi imel tri stebre. Prvi je Podpora državam članicam pri naložbah in reformah. Osrednji del tega stebra naj bi bil novi </w:t>
      </w:r>
      <w:r w:rsidR="00DC1626" w:rsidRPr="006E2194">
        <w:rPr>
          <w:rFonts w:ascii="Arial" w:hAnsi="Arial" w:cs="Arial"/>
          <w:sz w:val="20"/>
          <w:szCs w:val="20"/>
        </w:rPr>
        <w:t>M</w:t>
      </w:r>
      <w:r w:rsidRPr="006E2194">
        <w:rPr>
          <w:rFonts w:ascii="Arial" w:hAnsi="Arial" w:cs="Arial"/>
          <w:sz w:val="20"/>
          <w:szCs w:val="20"/>
        </w:rPr>
        <w:t xml:space="preserve">ehanizem za okrevanje in odpornost v vrednosti 560 milijard evrov. V njem naj bi bila na voljo sredstva za finančno podporo za naložbe in reforme, tudi v zvezi z zelenim in digitalnim prehodom ter odpornostjo nacionalnih gospodarstev. </w:t>
      </w:r>
      <w:r w:rsidR="00DC1626" w:rsidRPr="006E2194">
        <w:rPr>
          <w:rFonts w:ascii="Arial" w:hAnsi="Arial" w:cs="Arial"/>
          <w:sz w:val="20"/>
          <w:szCs w:val="20"/>
        </w:rPr>
        <w:t>N</w:t>
      </w:r>
      <w:r w:rsidRPr="006E2194">
        <w:rPr>
          <w:rFonts w:ascii="Arial" w:hAnsi="Arial" w:cs="Arial"/>
          <w:sz w:val="20"/>
          <w:szCs w:val="20"/>
        </w:rPr>
        <w:t xml:space="preserve">epovratnih sredstev </w:t>
      </w:r>
      <w:r w:rsidR="00DC1626" w:rsidRPr="006E2194">
        <w:rPr>
          <w:rFonts w:ascii="Arial" w:hAnsi="Arial" w:cs="Arial"/>
          <w:sz w:val="20"/>
          <w:szCs w:val="20"/>
        </w:rPr>
        <w:t>v tem mehanizmu Evropska komisija predlaga do 310 milijard evrov, za posojila pa</w:t>
      </w:r>
      <w:r w:rsidRPr="006E2194">
        <w:rPr>
          <w:rFonts w:ascii="Arial" w:hAnsi="Arial" w:cs="Arial"/>
          <w:sz w:val="20"/>
          <w:szCs w:val="20"/>
        </w:rPr>
        <w:t xml:space="preserve"> do 250 milijard evrov. Podpora </w:t>
      </w:r>
      <w:r w:rsidR="00DC1626" w:rsidRPr="006E2194">
        <w:rPr>
          <w:rFonts w:ascii="Arial" w:hAnsi="Arial" w:cs="Arial"/>
          <w:sz w:val="20"/>
          <w:szCs w:val="20"/>
        </w:rPr>
        <w:t>iz mehanizma za okrevanje in odpornost naj bi bila</w:t>
      </w:r>
      <w:r w:rsidRPr="006E2194">
        <w:rPr>
          <w:rFonts w:ascii="Arial" w:hAnsi="Arial" w:cs="Arial"/>
          <w:sz w:val="20"/>
          <w:szCs w:val="20"/>
        </w:rPr>
        <w:t xml:space="preserve"> na voljo vsem državam članicam, vendar </w:t>
      </w:r>
      <w:r w:rsidR="00DC1626" w:rsidRPr="006E2194">
        <w:rPr>
          <w:rFonts w:ascii="Arial" w:hAnsi="Arial" w:cs="Arial"/>
          <w:sz w:val="20"/>
          <w:szCs w:val="20"/>
        </w:rPr>
        <w:t>naju bi bila</w:t>
      </w:r>
      <w:r w:rsidRPr="006E2194">
        <w:rPr>
          <w:rFonts w:ascii="Arial" w:hAnsi="Arial" w:cs="Arial"/>
          <w:sz w:val="20"/>
          <w:szCs w:val="20"/>
        </w:rPr>
        <w:t xml:space="preserve"> osredotočena zlasti na najbolj prizadete in na področja, kjer so potrebe po odpornosti največje.</w:t>
      </w:r>
    </w:p>
    <w:p w:rsidR="00DC1626" w:rsidRPr="006E2194" w:rsidRDefault="00DC1626" w:rsidP="006E2194">
      <w:pPr>
        <w:jc w:val="both"/>
        <w:rPr>
          <w:rFonts w:ascii="Arial" w:hAnsi="Arial" w:cs="Arial"/>
          <w:sz w:val="20"/>
          <w:szCs w:val="20"/>
        </w:rPr>
      </w:pPr>
      <w:r w:rsidRPr="006E2194">
        <w:rPr>
          <w:rFonts w:ascii="Arial" w:hAnsi="Arial" w:cs="Arial"/>
          <w:sz w:val="20"/>
          <w:szCs w:val="20"/>
        </w:rPr>
        <w:t>Dodatnih 55 milijard evrov Evropska komisija v okviru prvega stebra Instrumenta za okrevanje predlaga za trenutne programe kohezijske politike, na voljo naj bi bila v obdobju do leta 2022 okviru nove pobude REACT-EU. Ta sredstva bi dodelila na podlagi resnosti družbeno-ekonomskih posledic krize, vključno s stopnjo brezposelnosti mladih, in relativne blaginje držav članic.</w:t>
      </w:r>
    </w:p>
    <w:p w:rsidR="00DC1626" w:rsidRPr="006E2194" w:rsidRDefault="00DC1626" w:rsidP="006E2194">
      <w:pPr>
        <w:jc w:val="both"/>
        <w:rPr>
          <w:rFonts w:ascii="Arial" w:hAnsi="Arial" w:cs="Arial"/>
          <w:sz w:val="20"/>
          <w:szCs w:val="20"/>
        </w:rPr>
      </w:pPr>
      <w:r w:rsidRPr="006E2194">
        <w:rPr>
          <w:rFonts w:ascii="Arial" w:hAnsi="Arial" w:cs="Arial"/>
          <w:sz w:val="20"/>
          <w:szCs w:val="20"/>
        </w:rPr>
        <w:t>Sklad za pravični prehod bi v okviru prvega stebra Instrumenta za okrevanje Evropska komisija okrepila sredstvi v višini 40 milijard evrov za pomoč državam članicam pri hitrejšem prehodu na podnebno nevtralnost. Z dodatnimi sredstvi v višini 15 milijard evrov za Evropski kmetijski sklad za razvoj podeželja pa bi podprla podeželska območja pri izvajanju potrebnih strukturnih sprememb v skladu z evropskim zelenim dogovorom in doseganju ambicioznih ciljev v skladu z novima strategijama za biotsko raznovrstnost in »od vil do vilic«.</w:t>
      </w:r>
    </w:p>
    <w:p w:rsidR="00DC1626" w:rsidRPr="006E2194" w:rsidRDefault="00101DB8" w:rsidP="006E2194">
      <w:pPr>
        <w:jc w:val="both"/>
        <w:rPr>
          <w:rFonts w:ascii="Arial" w:hAnsi="Arial" w:cs="Arial"/>
          <w:sz w:val="20"/>
          <w:szCs w:val="20"/>
        </w:rPr>
      </w:pPr>
      <w:r w:rsidRPr="006E2194">
        <w:rPr>
          <w:rFonts w:ascii="Arial" w:hAnsi="Arial" w:cs="Arial"/>
          <w:sz w:val="20"/>
          <w:szCs w:val="20"/>
        </w:rPr>
        <w:lastRenderedPageBreak/>
        <w:t>Drugi steber Instrumenta za okrevanje je Oživitev gospodarstva EU s spodbujanjem zasebnih naložb. Osrednji del tega stebra naj bi bil novi instrument za podporo plačilni sposobnosti, ki naj bi aktiviral zasebne vire za zagotavljanje nujne podpore evropskim podjetjem, ki so sposobna preživeti, v najbolj prizadetih sektorjih, regijah in državah. Delovati bi lahko začel v letu 2020. S proračunom v višini 31 milijard evrov naj bi bil namenjen sprostitvi prek 300 milijard evrov za podporo plačilne sposobnosti podjetij iz vseh gospodarskih sektorjev in kot pomoč pri pripravi na čistejšo, digitalno in odporno prihodnost.</w:t>
      </w:r>
    </w:p>
    <w:p w:rsidR="00101DB8" w:rsidRPr="006E2194" w:rsidRDefault="00243C49" w:rsidP="006E2194">
      <w:pPr>
        <w:jc w:val="both"/>
        <w:rPr>
          <w:rFonts w:ascii="Arial" w:hAnsi="Arial" w:cs="Arial"/>
          <w:sz w:val="20"/>
          <w:szCs w:val="20"/>
        </w:rPr>
      </w:pPr>
      <w:r w:rsidRPr="006E2194">
        <w:rPr>
          <w:rFonts w:ascii="Arial" w:hAnsi="Arial" w:cs="Arial"/>
          <w:sz w:val="20"/>
          <w:szCs w:val="20"/>
        </w:rPr>
        <w:t xml:space="preserve">V okviru drugega stebra je Evropska komisija dodatna sredstva predlagala tudi za program </w:t>
      </w:r>
      <w:proofErr w:type="spellStart"/>
      <w:r w:rsidRPr="006E2194">
        <w:rPr>
          <w:rFonts w:ascii="Arial" w:hAnsi="Arial" w:cs="Arial"/>
          <w:sz w:val="20"/>
          <w:szCs w:val="20"/>
        </w:rPr>
        <w:t>InvestEU</w:t>
      </w:r>
      <w:proofErr w:type="spellEnd"/>
      <w:r w:rsidRPr="006E2194">
        <w:rPr>
          <w:rFonts w:ascii="Arial" w:hAnsi="Arial" w:cs="Arial"/>
          <w:sz w:val="20"/>
          <w:szCs w:val="20"/>
        </w:rPr>
        <w:t xml:space="preserve">, vodilni evropski program za naložbe, ki naj bi tako razpolagal s 15,3 milijarde evrov za mobilizacijo zasebnih naložb v projekte po vsej Uniji. </w:t>
      </w:r>
    </w:p>
    <w:p w:rsidR="00243C49" w:rsidRPr="006E2194" w:rsidRDefault="006E2194" w:rsidP="006E2194">
      <w:pPr>
        <w:jc w:val="both"/>
        <w:rPr>
          <w:rFonts w:ascii="Arial" w:hAnsi="Arial" w:cs="Arial"/>
          <w:sz w:val="20"/>
          <w:szCs w:val="20"/>
        </w:rPr>
      </w:pPr>
      <w:r>
        <w:rPr>
          <w:rFonts w:ascii="Arial" w:hAnsi="Arial" w:cs="Arial"/>
          <w:sz w:val="20"/>
          <w:szCs w:val="20"/>
        </w:rPr>
        <w:t>Tretji steber Instrum</w:t>
      </w:r>
      <w:r w:rsidR="00243C49" w:rsidRPr="006E2194">
        <w:rPr>
          <w:rFonts w:ascii="Arial" w:hAnsi="Arial" w:cs="Arial"/>
          <w:sz w:val="20"/>
          <w:szCs w:val="20"/>
        </w:rPr>
        <w:t xml:space="preserve">enta za okrevanje naj bi bil Obravnavanje vprašanj, ki jih je izpostavila kriza. Evropska komisija bi z novim Programom za zdravje </w:t>
      </w:r>
      <w:proofErr w:type="spellStart"/>
      <w:r w:rsidR="00243C49" w:rsidRPr="006E2194">
        <w:rPr>
          <w:rFonts w:ascii="Arial" w:hAnsi="Arial" w:cs="Arial"/>
          <w:sz w:val="20"/>
          <w:szCs w:val="20"/>
        </w:rPr>
        <w:t>EUzaZDRAVJE</w:t>
      </w:r>
      <w:proofErr w:type="spellEnd"/>
      <w:r w:rsidR="00243C49" w:rsidRPr="006E2194">
        <w:rPr>
          <w:rFonts w:ascii="Arial" w:hAnsi="Arial" w:cs="Arial"/>
          <w:sz w:val="20"/>
          <w:szCs w:val="20"/>
        </w:rPr>
        <w:t xml:space="preserve"> s proračunom v višini 9,4 milijarde evrov izboljšala zdravstveno varnost in pripravljenost na prihodnje zdravstvene krize. Z 94,4 milijarde evrov bi dodatno podprla program Obzorje Evropa za financiranje življenjsko pomembnih raziskav na področju zdravja, odpornosti ter zelenega in digitalnega prehoda. </w:t>
      </w:r>
    </w:p>
    <w:p w:rsidR="00243C49" w:rsidRPr="006E2194" w:rsidRDefault="00243C49" w:rsidP="006E2194">
      <w:pPr>
        <w:jc w:val="both"/>
        <w:rPr>
          <w:rFonts w:ascii="Arial" w:hAnsi="Arial" w:cs="Arial"/>
          <w:sz w:val="20"/>
          <w:szCs w:val="20"/>
        </w:rPr>
      </w:pPr>
      <w:r w:rsidRPr="006E2194">
        <w:rPr>
          <w:rFonts w:ascii="Arial" w:hAnsi="Arial" w:cs="Arial"/>
          <w:sz w:val="20"/>
          <w:szCs w:val="20"/>
        </w:rPr>
        <w:t>Evropska komisija predlaga, da bi se za financiranje Instrumenta za okrevanje zadolžila na finančnih trgih, za poplačilo tega dolga pa predlaga</w:t>
      </w:r>
      <w:r w:rsidR="006E2194" w:rsidRPr="006E2194">
        <w:rPr>
          <w:rFonts w:ascii="Arial" w:hAnsi="Arial" w:cs="Arial"/>
          <w:sz w:val="20"/>
          <w:szCs w:val="20"/>
        </w:rPr>
        <w:t xml:space="preserve"> nove davke, ki so davek na izpuste toplogrednih plinov na podlagi sheme za trgovanje z izpusti, digitalni davek in davek na plastiko, ki je ni mogoče reciklirati. </w:t>
      </w:r>
    </w:p>
    <w:p w:rsidR="00243C49" w:rsidRPr="006E2194" w:rsidRDefault="00243C49" w:rsidP="006E2194">
      <w:pPr>
        <w:jc w:val="both"/>
        <w:rPr>
          <w:rFonts w:ascii="Arial" w:hAnsi="Arial" w:cs="Arial"/>
          <w:b/>
          <w:sz w:val="20"/>
          <w:szCs w:val="20"/>
        </w:rPr>
      </w:pPr>
      <w:r w:rsidRPr="006E2194">
        <w:rPr>
          <w:rFonts w:ascii="Arial" w:hAnsi="Arial" w:cs="Arial"/>
          <w:b/>
          <w:sz w:val="20"/>
          <w:szCs w:val="20"/>
        </w:rPr>
        <w:t>Koristne informacije:</w:t>
      </w:r>
    </w:p>
    <w:p w:rsidR="00243C49" w:rsidRPr="006E2194" w:rsidRDefault="00243C49" w:rsidP="006E2194">
      <w:pPr>
        <w:pStyle w:val="Odstavekseznama"/>
        <w:numPr>
          <w:ilvl w:val="0"/>
          <w:numId w:val="3"/>
        </w:numPr>
        <w:jc w:val="both"/>
        <w:rPr>
          <w:rFonts w:ascii="Arial" w:hAnsi="Arial" w:cs="Arial"/>
          <w:sz w:val="20"/>
          <w:szCs w:val="20"/>
        </w:rPr>
      </w:pPr>
      <w:r w:rsidRPr="006E2194">
        <w:rPr>
          <w:rFonts w:ascii="Arial" w:hAnsi="Arial" w:cs="Arial"/>
          <w:sz w:val="20"/>
          <w:szCs w:val="20"/>
        </w:rPr>
        <w:t>Sporočilo Evropske komisije:</w:t>
      </w:r>
    </w:p>
    <w:p w:rsidR="00243C49" w:rsidRPr="006E2194" w:rsidRDefault="00243C49" w:rsidP="006E2194">
      <w:pPr>
        <w:pStyle w:val="Odstavekseznama"/>
        <w:numPr>
          <w:ilvl w:val="0"/>
          <w:numId w:val="3"/>
        </w:numPr>
        <w:jc w:val="both"/>
        <w:rPr>
          <w:rFonts w:ascii="Arial" w:hAnsi="Arial" w:cs="Arial"/>
          <w:sz w:val="20"/>
          <w:szCs w:val="20"/>
        </w:rPr>
      </w:pPr>
      <w:hyperlink r:id="rId6" w:history="1">
        <w:r w:rsidRPr="006E2194">
          <w:rPr>
            <w:rStyle w:val="Hiperpovezava"/>
            <w:rFonts w:ascii="Arial" w:hAnsi="Arial" w:cs="Arial"/>
            <w:sz w:val="20"/>
            <w:szCs w:val="20"/>
          </w:rPr>
          <w:t>https://ec.europa.eu/info/files/communication-europes-moment-repair-and-prepare-next-generation_en</w:t>
        </w:r>
      </w:hyperlink>
    </w:p>
    <w:p w:rsidR="00243C49" w:rsidRPr="006E2194" w:rsidRDefault="00243C49" w:rsidP="006E2194">
      <w:pPr>
        <w:pStyle w:val="Odstavekseznama"/>
        <w:numPr>
          <w:ilvl w:val="0"/>
          <w:numId w:val="3"/>
        </w:numPr>
        <w:jc w:val="both"/>
        <w:rPr>
          <w:rFonts w:ascii="Arial" w:hAnsi="Arial" w:cs="Arial"/>
          <w:sz w:val="20"/>
          <w:szCs w:val="20"/>
        </w:rPr>
      </w:pPr>
      <w:r w:rsidRPr="006E2194">
        <w:rPr>
          <w:rFonts w:ascii="Arial" w:hAnsi="Arial" w:cs="Arial"/>
          <w:sz w:val="20"/>
          <w:szCs w:val="20"/>
        </w:rPr>
        <w:t>Spletna stran z informacijami o novem instrumentu za okrevanje:</w:t>
      </w:r>
    </w:p>
    <w:p w:rsidR="00243C49" w:rsidRPr="006E2194" w:rsidRDefault="00243C49" w:rsidP="006E2194">
      <w:pPr>
        <w:pStyle w:val="Odstavekseznama"/>
        <w:numPr>
          <w:ilvl w:val="0"/>
          <w:numId w:val="3"/>
        </w:numPr>
        <w:jc w:val="both"/>
        <w:rPr>
          <w:rFonts w:ascii="Arial" w:hAnsi="Arial" w:cs="Arial"/>
          <w:sz w:val="20"/>
          <w:szCs w:val="20"/>
        </w:rPr>
      </w:pPr>
      <w:hyperlink r:id="rId7" w:history="1">
        <w:r w:rsidRPr="006E2194">
          <w:rPr>
            <w:rStyle w:val="Hiperpovezava"/>
            <w:rFonts w:ascii="Arial" w:hAnsi="Arial" w:cs="Arial"/>
            <w:sz w:val="20"/>
            <w:szCs w:val="20"/>
          </w:rPr>
          <w:t>https://ec.europa.eu/info/files/eu-budget-powering-recovery-plan-europe_sl</w:t>
        </w:r>
      </w:hyperlink>
    </w:p>
    <w:p w:rsidR="00243C49" w:rsidRPr="006E2194" w:rsidRDefault="00243C49" w:rsidP="006E2194">
      <w:pPr>
        <w:pStyle w:val="Odstavekseznama"/>
        <w:numPr>
          <w:ilvl w:val="0"/>
          <w:numId w:val="3"/>
        </w:numPr>
        <w:jc w:val="both"/>
        <w:rPr>
          <w:rFonts w:ascii="Arial" w:hAnsi="Arial" w:cs="Arial"/>
          <w:sz w:val="20"/>
          <w:szCs w:val="20"/>
        </w:rPr>
      </w:pPr>
      <w:r w:rsidRPr="006E2194">
        <w:rPr>
          <w:rFonts w:ascii="Arial" w:hAnsi="Arial" w:cs="Arial"/>
          <w:sz w:val="20"/>
          <w:szCs w:val="20"/>
        </w:rPr>
        <w:t>Spletna stran z novim predlogom Evropske komisije za večletni proračun EU 2021-2027:</w:t>
      </w:r>
    </w:p>
    <w:p w:rsidR="006E2194" w:rsidRPr="006E2194" w:rsidRDefault="006E2194" w:rsidP="006E2194">
      <w:pPr>
        <w:pStyle w:val="Odstavekseznama"/>
        <w:numPr>
          <w:ilvl w:val="0"/>
          <w:numId w:val="3"/>
        </w:numPr>
        <w:jc w:val="both"/>
        <w:rPr>
          <w:rFonts w:ascii="Arial" w:hAnsi="Arial" w:cs="Arial"/>
          <w:sz w:val="20"/>
          <w:szCs w:val="20"/>
        </w:rPr>
      </w:pPr>
      <w:hyperlink r:id="rId8" w:history="1">
        <w:r w:rsidRPr="006E2194">
          <w:rPr>
            <w:rStyle w:val="Hiperpovezava"/>
            <w:rFonts w:ascii="Arial" w:hAnsi="Arial" w:cs="Arial"/>
            <w:sz w:val="20"/>
            <w:szCs w:val="20"/>
          </w:rPr>
          <w:t>https://ec.europa.eu/info/files/communication-commission-eu-budget-powering-recovery-plan-europe_sl</w:t>
        </w:r>
      </w:hyperlink>
      <w:r w:rsidRPr="006E2194">
        <w:rPr>
          <w:rFonts w:ascii="Arial" w:hAnsi="Arial" w:cs="Arial"/>
          <w:sz w:val="20"/>
          <w:szCs w:val="20"/>
        </w:rPr>
        <w:t xml:space="preserve"> </w:t>
      </w:r>
    </w:p>
    <w:p w:rsidR="006E2194" w:rsidRPr="006E2194" w:rsidRDefault="006E2194" w:rsidP="006E2194">
      <w:pPr>
        <w:pStyle w:val="Odstavekseznama"/>
        <w:numPr>
          <w:ilvl w:val="0"/>
          <w:numId w:val="3"/>
        </w:numPr>
        <w:jc w:val="both"/>
        <w:rPr>
          <w:rFonts w:ascii="Arial" w:hAnsi="Arial" w:cs="Arial"/>
          <w:sz w:val="20"/>
          <w:szCs w:val="20"/>
        </w:rPr>
      </w:pPr>
      <w:r w:rsidRPr="006E2194">
        <w:rPr>
          <w:rFonts w:ascii="Arial" w:hAnsi="Arial" w:cs="Arial"/>
          <w:sz w:val="20"/>
          <w:szCs w:val="20"/>
        </w:rPr>
        <w:t>Spletna stran s predlogom novih davkov:</w:t>
      </w:r>
    </w:p>
    <w:p w:rsidR="006E2194" w:rsidRPr="006E2194" w:rsidRDefault="006E2194" w:rsidP="006E2194">
      <w:pPr>
        <w:pStyle w:val="Odstavekseznama"/>
        <w:numPr>
          <w:ilvl w:val="0"/>
          <w:numId w:val="3"/>
        </w:numPr>
        <w:jc w:val="both"/>
        <w:rPr>
          <w:rFonts w:ascii="Arial" w:hAnsi="Arial" w:cs="Arial"/>
          <w:sz w:val="20"/>
          <w:szCs w:val="20"/>
        </w:rPr>
      </w:pPr>
      <w:hyperlink r:id="rId9" w:history="1">
        <w:r w:rsidRPr="006E2194">
          <w:rPr>
            <w:rStyle w:val="Hiperpovezava"/>
            <w:rFonts w:ascii="Arial" w:hAnsi="Arial" w:cs="Arial"/>
            <w:sz w:val="20"/>
            <w:szCs w:val="20"/>
          </w:rPr>
          <w:t>https://ec.europa.eu/info/files/eu-budget-powering-recovery-plan-europe_sl</w:t>
        </w:r>
      </w:hyperlink>
    </w:p>
    <w:p w:rsidR="006E2194" w:rsidRPr="006E2194" w:rsidRDefault="006E2194" w:rsidP="006E2194">
      <w:pPr>
        <w:spacing w:after="0"/>
        <w:jc w:val="both"/>
        <w:rPr>
          <w:rFonts w:ascii="Arial" w:hAnsi="Arial" w:cs="Arial"/>
          <w:sz w:val="20"/>
          <w:szCs w:val="20"/>
        </w:rPr>
      </w:pPr>
      <w:r w:rsidRPr="006E2194">
        <w:rPr>
          <w:rFonts w:ascii="Arial" w:hAnsi="Arial" w:cs="Arial"/>
          <w:sz w:val="20"/>
          <w:szCs w:val="20"/>
        </w:rPr>
        <w:t>Pripravila:</w:t>
      </w:r>
    </w:p>
    <w:p w:rsidR="006E2194" w:rsidRPr="006E2194" w:rsidRDefault="006E2194" w:rsidP="006E2194">
      <w:pPr>
        <w:spacing w:after="0"/>
        <w:jc w:val="both"/>
        <w:rPr>
          <w:rFonts w:ascii="Arial" w:hAnsi="Arial" w:cs="Arial"/>
          <w:sz w:val="20"/>
          <w:szCs w:val="20"/>
        </w:rPr>
      </w:pPr>
      <w:r w:rsidRPr="006E2194">
        <w:rPr>
          <w:rFonts w:ascii="Arial" w:hAnsi="Arial" w:cs="Arial"/>
          <w:sz w:val="20"/>
          <w:szCs w:val="20"/>
        </w:rPr>
        <w:t>Darja Kocbek</w:t>
      </w:r>
    </w:p>
    <w:p w:rsidR="006E2194" w:rsidRDefault="006E2194" w:rsidP="006E2194">
      <w:pPr>
        <w:spacing w:after="0"/>
        <w:rPr>
          <w:rFonts w:ascii="Arial" w:hAnsi="Arial" w:cs="Arial"/>
        </w:rPr>
      </w:pPr>
    </w:p>
    <w:p w:rsidR="00243C49" w:rsidRDefault="00243C49" w:rsidP="00DC1626">
      <w:pPr>
        <w:rPr>
          <w:rFonts w:ascii="Arial" w:hAnsi="Arial" w:cs="Arial"/>
        </w:rPr>
      </w:pPr>
    </w:p>
    <w:p w:rsidR="00243C49" w:rsidRDefault="00243C49" w:rsidP="00DC1626">
      <w:pPr>
        <w:rPr>
          <w:rFonts w:ascii="Arial" w:hAnsi="Arial" w:cs="Arial"/>
        </w:rPr>
      </w:pPr>
    </w:p>
    <w:p w:rsidR="00243C49" w:rsidRDefault="00243C49" w:rsidP="00DC1626">
      <w:pPr>
        <w:rPr>
          <w:rFonts w:ascii="Arial" w:hAnsi="Arial" w:cs="Arial"/>
        </w:rPr>
      </w:pPr>
    </w:p>
    <w:p w:rsidR="00DC1626" w:rsidRPr="00DC1626" w:rsidRDefault="00DC1626" w:rsidP="00DC1626">
      <w:r w:rsidRPr="00DC1626">
        <w:t> </w:t>
      </w:r>
    </w:p>
    <w:p w:rsidR="00DC1626" w:rsidRPr="004E7295" w:rsidRDefault="00DC1626" w:rsidP="004E7295"/>
    <w:p w:rsidR="004E7295" w:rsidRPr="002F0941" w:rsidRDefault="004E7295" w:rsidP="002F0941"/>
    <w:p w:rsidR="00D3704C" w:rsidRDefault="00D3704C"/>
    <w:sectPr w:rsidR="00D3704C" w:rsidSect="00D370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5355C"/>
    <w:multiLevelType w:val="multilevel"/>
    <w:tmpl w:val="A5B4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612115"/>
    <w:multiLevelType w:val="hybridMultilevel"/>
    <w:tmpl w:val="C7661D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9654A92"/>
    <w:multiLevelType w:val="multilevel"/>
    <w:tmpl w:val="33F83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0941"/>
    <w:rsid w:val="00101DB8"/>
    <w:rsid w:val="00243C49"/>
    <w:rsid w:val="002F0941"/>
    <w:rsid w:val="00453A1F"/>
    <w:rsid w:val="004E7295"/>
    <w:rsid w:val="00690380"/>
    <w:rsid w:val="006E2194"/>
    <w:rsid w:val="00B57AE5"/>
    <w:rsid w:val="00CE65BE"/>
    <w:rsid w:val="00D3704C"/>
    <w:rsid w:val="00DC162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3704C"/>
  </w:style>
  <w:style w:type="paragraph" w:styleId="Naslov2">
    <w:name w:val="heading 2"/>
    <w:basedOn w:val="Navaden"/>
    <w:next w:val="Navaden"/>
    <w:link w:val="Naslov2Znak"/>
    <w:uiPriority w:val="9"/>
    <w:semiHidden/>
    <w:unhideWhenUsed/>
    <w:qFormat/>
    <w:rsid w:val="00453A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4446689704msonormal">
    <w:name w:val="yiv4446689704msonormal"/>
    <w:basedOn w:val="Navaden"/>
    <w:rsid w:val="002F094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2F0941"/>
    <w:rPr>
      <w:color w:val="0000FF"/>
      <w:u w:val="single"/>
    </w:rPr>
  </w:style>
  <w:style w:type="paragraph" w:styleId="Odstavekseznama">
    <w:name w:val="List Paragraph"/>
    <w:basedOn w:val="Navaden"/>
    <w:uiPriority w:val="34"/>
    <w:qFormat/>
    <w:rsid w:val="006E2194"/>
    <w:pPr>
      <w:ind w:left="720"/>
      <w:contextualSpacing/>
    </w:pPr>
  </w:style>
  <w:style w:type="character" w:customStyle="1" w:styleId="Naslov2Znak">
    <w:name w:val="Naslov 2 Znak"/>
    <w:basedOn w:val="Privzetapisavaodstavka"/>
    <w:link w:val="Naslov2"/>
    <w:uiPriority w:val="9"/>
    <w:semiHidden/>
    <w:rsid w:val="00453A1F"/>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453A1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53A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9989614">
      <w:bodyDiv w:val="1"/>
      <w:marLeft w:val="0"/>
      <w:marRight w:val="0"/>
      <w:marTop w:val="0"/>
      <w:marBottom w:val="0"/>
      <w:divBdr>
        <w:top w:val="none" w:sz="0" w:space="0" w:color="auto"/>
        <w:left w:val="none" w:sz="0" w:space="0" w:color="auto"/>
        <w:bottom w:val="none" w:sz="0" w:space="0" w:color="auto"/>
        <w:right w:val="none" w:sz="0" w:space="0" w:color="auto"/>
      </w:divBdr>
    </w:div>
    <w:div w:id="1331057120">
      <w:bodyDiv w:val="1"/>
      <w:marLeft w:val="0"/>
      <w:marRight w:val="0"/>
      <w:marTop w:val="0"/>
      <w:marBottom w:val="0"/>
      <w:divBdr>
        <w:top w:val="none" w:sz="0" w:space="0" w:color="auto"/>
        <w:left w:val="none" w:sz="0" w:space="0" w:color="auto"/>
        <w:bottom w:val="none" w:sz="0" w:space="0" w:color="auto"/>
        <w:right w:val="none" w:sz="0" w:space="0" w:color="auto"/>
      </w:divBdr>
    </w:div>
    <w:div w:id="185915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iles/communication-commission-eu-budget-powering-recovery-plan-europe_sl" TargetMode="External"/><Relationship Id="rId3" Type="http://schemas.openxmlformats.org/officeDocument/2006/relationships/settings" Target="settings.xml"/><Relationship Id="rId7" Type="http://schemas.openxmlformats.org/officeDocument/2006/relationships/hyperlink" Target="https://ec.europa.eu/info/files/eu-budget-powering-recovery-plan-europe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files/communication-europes-moment-repair-and-prepare-next-generation_en"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europa.eu/info/files/eu-budget-powering-recovery-plan-europe_s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799</Words>
  <Characters>4560</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5349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2020-05-27T16:16:00Z</dcterms:created>
  <dcterms:modified xsi:type="dcterms:W3CDTF">2020-05-27T17:01:00Z</dcterms:modified>
</cp:coreProperties>
</file>