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3A" w:rsidRDefault="00EF533A" w:rsidP="00EF533A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33A" w:rsidRDefault="00EF533A" w:rsidP="00EF533A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EF533A" w:rsidRDefault="00EF533A" w:rsidP="00EF533A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F533A" w:rsidRDefault="00EF533A" w:rsidP="00EF533A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86</w:t>
      </w:r>
      <w:r w:rsidRPr="001C4501">
        <w:rPr>
          <w:rFonts w:ascii="Arial" w:hAnsi="Arial" w:cs="Arial"/>
          <w:b/>
        </w:rPr>
        <w:t xml:space="preserve"> – 2017</w:t>
      </w:r>
    </w:p>
    <w:p w:rsidR="00EF533A" w:rsidRPr="00DD131D" w:rsidRDefault="00EF533A" w:rsidP="00EF533A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29.</w:t>
      </w:r>
      <w:r w:rsidRPr="001C450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maj</w:t>
      </w:r>
      <w:r w:rsidRPr="001C4501">
        <w:rPr>
          <w:rFonts w:ascii="Arial" w:hAnsi="Arial" w:cs="Arial"/>
          <w:b/>
        </w:rPr>
        <w:t xml:space="preserve"> 2017</w:t>
      </w:r>
    </w:p>
    <w:p w:rsidR="00EF533A" w:rsidRDefault="00EF533A" w:rsidP="00EF533A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Vizija in ukrepi za evropsko proizvodnjo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neželezovih</w:t>
      </w:r>
      <w:proofErr w:type="spellEnd"/>
      <w:r>
        <w:rPr>
          <w:rFonts w:ascii="Arial" w:hAnsi="Arial" w:cs="Arial"/>
          <w:b/>
          <w:color w:val="993300"/>
          <w:sz w:val="32"/>
          <w:szCs w:val="32"/>
        </w:rPr>
        <w:t xml:space="preserve"> kovin do leta 2050</w:t>
      </w:r>
    </w:p>
    <w:p w:rsidR="003C3DC0" w:rsidRPr="001853E2" w:rsidRDefault="00EF1EA6" w:rsidP="001853E2">
      <w:pPr>
        <w:rPr>
          <w:rFonts w:ascii="Arial" w:hAnsi="Arial" w:cs="Arial"/>
          <w:b/>
          <w:i/>
        </w:rPr>
      </w:pPr>
      <w:r w:rsidRPr="001853E2">
        <w:rPr>
          <w:rFonts w:ascii="Arial" w:hAnsi="Arial" w:cs="Arial"/>
          <w:b/>
          <w:i/>
        </w:rPr>
        <w:t xml:space="preserve">Evropska komisija je objavila vizijo in ukrepe za proizvodnjo </w:t>
      </w:r>
      <w:proofErr w:type="spellStart"/>
      <w:r w:rsidRPr="001853E2">
        <w:rPr>
          <w:rFonts w:ascii="Arial" w:hAnsi="Arial" w:cs="Arial"/>
          <w:b/>
          <w:i/>
        </w:rPr>
        <w:t>neželezovih</w:t>
      </w:r>
      <w:proofErr w:type="spellEnd"/>
      <w:r w:rsidRPr="001853E2">
        <w:rPr>
          <w:rFonts w:ascii="Arial" w:hAnsi="Arial" w:cs="Arial"/>
          <w:b/>
          <w:i/>
        </w:rPr>
        <w:t xml:space="preserve"> kovine, ki je po njenih navedbah strateški sektor, ki neposredno zaposluje pol milijona ljudi in zagotavlja izdelke za nadaljnjo proizvodnjo v ključnih industrijskih sektorjih. Dolgoročna vizija s potrebnimi ukrepi je narejena do leta 2050. Cilj je, da bo leta 2050 proizvodnja </w:t>
      </w:r>
      <w:proofErr w:type="spellStart"/>
      <w:r w:rsidRPr="001853E2">
        <w:rPr>
          <w:rFonts w:ascii="Arial" w:hAnsi="Arial" w:cs="Arial"/>
          <w:b/>
          <w:i/>
        </w:rPr>
        <w:t>neželezovih</w:t>
      </w:r>
      <w:proofErr w:type="spellEnd"/>
      <w:r w:rsidRPr="001853E2">
        <w:rPr>
          <w:rFonts w:ascii="Arial" w:hAnsi="Arial" w:cs="Arial"/>
          <w:b/>
          <w:i/>
        </w:rPr>
        <w:t xml:space="preserve"> kovin v Evropi cenjen in zaupanja vreden vodja na svetovni ravni, ki bo ponujal trajnostne, inovativne in konkurenčne rešitve.</w:t>
      </w:r>
    </w:p>
    <w:p w:rsidR="003C3DC0" w:rsidRPr="00500B4D" w:rsidRDefault="00D71BDF" w:rsidP="001853E2">
      <w:pPr>
        <w:rPr>
          <w:rFonts w:ascii="Arial" w:hAnsi="Arial" w:cs="Arial"/>
          <w:b/>
          <w:sz w:val="20"/>
          <w:szCs w:val="20"/>
        </w:rPr>
      </w:pPr>
      <w:r w:rsidRPr="00500B4D">
        <w:rPr>
          <w:rFonts w:ascii="Arial" w:hAnsi="Arial" w:cs="Arial"/>
          <w:b/>
          <w:sz w:val="20"/>
          <w:szCs w:val="20"/>
        </w:rPr>
        <w:t>Tabela 1: Ključne ovire in priložnosti za napredno proizvodnjo in tehnološke inovacije</w:t>
      </w:r>
    </w:p>
    <w:tbl>
      <w:tblPr>
        <w:tblStyle w:val="Tabela-mrea"/>
        <w:tblW w:w="0" w:type="auto"/>
        <w:tblLook w:val="04A0"/>
      </w:tblPr>
      <w:tblGrid>
        <w:gridCol w:w="9182"/>
      </w:tblGrid>
      <w:tr w:rsidR="00D71BDF" w:rsidRPr="001853E2" w:rsidTr="00AE34C6">
        <w:trPr>
          <w:trHeight w:val="359"/>
        </w:trPr>
        <w:tc>
          <w:tcPr>
            <w:tcW w:w="9182" w:type="dxa"/>
          </w:tcPr>
          <w:p w:rsidR="00D71BDF" w:rsidRPr="00500B4D" w:rsidRDefault="00D71BDF" w:rsidP="001853E2">
            <w:pPr>
              <w:rPr>
                <w:rFonts w:ascii="Arial" w:hAnsi="Arial" w:cs="Arial"/>
                <w:b/>
              </w:rPr>
            </w:pPr>
            <w:proofErr w:type="spellStart"/>
            <w:r w:rsidRPr="00500B4D">
              <w:rPr>
                <w:rFonts w:ascii="Arial" w:hAnsi="Arial" w:cs="Arial"/>
                <w:b/>
              </w:rPr>
              <w:t>Key</w:t>
            </w:r>
            <w:proofErr w:type="spellEnd"/>
            <w:r w:rsidRPr="00500B4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b/>
              </w:rPr>
              <w:t>barriers</w:t>
            </w:r>
            <w:proofErr w:type="spellEnd"/>
            <w:r w:rsidRPr="00500B4D">
              <w:rPr>
                <w:rFonts w:ascii="Arial" w:hAnsi="Arial" w:cs="Arial"/>
                <w:b/>
              </w:rPr>
              <w:t xml:space="preserve"> to </w:t>
            </w:r>
            <w:proofErr w:type="spellStart"/>
            <w:r w:rsidRPr="00500B4D">
              <w:rPr>
                <w:rFonts w:ascii="Arial" w:hAnsi="Arial" w:cs="Arial"/>
                <w:b/>
              </w:rPr>
              <w:t>advanced</w:t>
            </w:r>
            <w:proofErr w:type="spellEnd"/>
            <w:r w:rsidRPr="00500B4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b/>
              </w:rPr>
              <w:t>manufacturing</w:t>
            </w:r>
            <w:proofErr w:type="spellEnd"/>
          </w:p>
        </w:tc>
      </w:tr>
      <w:tr w:rsidR="00D71BDF" w:rsidRPr="001853E2" w:rsidTr="00AE34C6">
        <w:trPr>
          <w:trHeight w:val="359"/>
        </w:trPr>
        <w:tc>
          <w:tcPr>
            <w:tcW w:w="9182" w:type="dxa"/>
          </w:tcPr>
          <w:p w:rsidR="00D71BDF" w:rsidRPr="00500B4D" w:rsidRDefault="00D71BDF" w:rsidP="00500B4D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capital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intense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nature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sector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entails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relatively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slow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uptake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manufacturing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technologies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, in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relation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, more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agile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industrial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sectors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1BDF" w:rsidRPr="001853E2" w:rsidTr="00AE34C6">
        <w:trPr>
          <w:trHeight w:val="359"/>
        </w:trPr>
        <w:tc>
          <w:tcPr>
            <w:tcW w:w="9182" w:type="dxa"/>
          </w:tcPr>
          <w:p w:rsidR="00D71BDF" w:rsidRPr="00500B4D" w:rsidRDefault="00D71BDF" w:rsidP="00500B4D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00B4D">
              <w:rPr>
                <w:rFonts w:ascii="Arial" w:hAnsi="Arial" w:cs="Arial"/>
                <w:sz w:val="20"/>
                <w:szCs w:val="20"/>
              </w:rPr>
              <w:t xml:space="preserve">As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prices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ferrous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metals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are set at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global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competition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manufacturers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mainly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makes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lack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global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playing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acute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problem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European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non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ferrous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metals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manufacturers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diverts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efforts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investing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manufacturing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competition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often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leads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diverting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investments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away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EU to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regions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lower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environmental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social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standards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71BDF" w:rsidRPr="001853E2" w:rsidTr="00AE34C6">
        <w:trPr>
          <w:trHeight w:val="359"/>
        </w:trPr>
        <w:tc>
          <w:tcPr>
            <w:tcW w:w="9182" w:type="dxa"/>
          </w:tcPr>
          <w:p w:rsidR="00D71BDF" w:rsidRPr="00500B4D" w:rsidRDefault="00D71BDF" w:rsidP="00500B4D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sometimes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controversial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image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sector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decreases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attractiveness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workers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manufacturing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digitalisation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D71BDF" w:rsidRPr="001853E2" w:rsidTr="00AE34C6">
        <w:trPr>
          <w:trHeight w:val="359"/>
        </w:trPr>
        <w:tc>
          <w:tcPr>
            <w:tcW w:w="9182" w:type="dxa"/>
          </w:tcPr>
          <w:p w:rsidR="00D71BDF" w:rsidRPr="00500B4D" w:rsidRDefault="00D71BDF" w:rsidP="001853E2">
            <w:pPr>
              <w:rPr>
                <w:rFonts w:ascii="Arial" w:hAnsi="Arial" w:cs="Arial"/>
                <w:b/>
              </w:rPr>
            </w:pPr>
            <w:proofErr w:type="spellStart"/>
            <w:r w:rsidRPr="00500B4D">
              <w:rPr>
                <w:rFonts w:ascii="Arial" w:hAnsi="Arial" w:cs="Arial"/>
                <w:b/>
              </w:rPr>
              <w:t>Key</w:t>
            </w:r>
            <w:proofErr w:type="spellEnd"/>
            <w:r w:rsidRPr="00500B4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b/>
              </w:rPr>
              <w:t>opportunities</w:t>
            </w:r>
            <w:proofErr w:type="spellEnd"/>
            <w:r w:rsidRPr="00500B4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b/>
              </w:rPr>
              <w:t>for</w:t>
            </w:r>
            <w:proofErr w:type="spellEnd"/>
            <w:r w:rsidRPr="00500B4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b/>
              </w:rPr>
              <w:t>technological</w:t>
            </w:r>
            <w:proofErr w:type="spellEnd"/>
            <w:r w:rsidRPr="00500B4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b/>
              </w:rPr>
              <w:t>innovation</w:t>
            </w:r>
            <w:proofErr w:type="spellEnd"/>
          </w:p>
        </w:tc>
      </w:tr>
      <w:tr w:rsidR="00D71BDF" w:rsidRPr="001853E2" w:rsidTr="00AE34C6">
        <w:trPr>
          <w:trHeight w:val="359"/>
        </w:trPr>
        <w:tc>
          <w:tcPr>
            <w:tcW w:w="9182" w:type="dxa"/>
          </w:tcPr>
          <w:p w:rsidR="00D71BDF" w:rsidRPr="00500B4D" w:rsidRDefault="00D71BDF" w:rsidP="00500B4D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Working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closer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collaboration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downstream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goods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manufacturers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represents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opportunity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sector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innovate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better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consumers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evolving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needs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deliver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‘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solutions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rather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‘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products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’. </w:t>
            </w:r>
          </w:p>
          <w:p w:rsidR="00D71BDF" w:rsidRPr="001853E2" w:rsidRDefault="00D71BDF" w:rsidP="00185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BDF" w:rsidRPr="001853E2" w:rsidTr="00AE34C6">
        <w:trPr>
          <w:trHeight w:val="359"/>
        </w:trPr>
        <w:tc>
          <w:tcPr>
            <w:tcW w:w="9182" w:type="dxa"/>
          </w:tcPr>
          <w:p w:rsidR="00D71BDF" w:rsidRPr="00500B4D" w:rsidRDefault="00D71BDF" w:rsidP="00500B4D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Society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’s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pressures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more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environmentally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friendly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manufacturing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need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depend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less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imports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raw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outside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Europe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push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sector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further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innovate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towards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more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circularity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71BDF" w:rsidRPr="001853E2" w:rsidRDefault="00D71BDF" w:rsidP="00185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BDF" w:rsidRPr="001853E2" w:rsidTr="00AE34C6">
        <w:trPr>
          <w:trHeight w:val="708"/>
        </w:trPr>
        <w:tc>
          <w:tcPr>
            <w:tcW w:w="9182" w:type="dxa"/>
          </w:tcPr>
          <w:p w:rsidR="00D71BDF" w:rsidRPr="00500B4D" w:rsidRDefault="00D71BDF" w:rsidP="00500B4D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00B4D">
              <w:rPr>
                <w:rFonts w:ascii="Arial" w:hAnsi="Arial" w:cs="Arial"/>
                <w:sz w:val="20"/>
                <w:szCs w:val="20"/>
              </w:rPr>
              <w:lastRenderedPageBreak/>
              <w:t xml:space="preserve">New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models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example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leasing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rather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than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selling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made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possible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technologies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embedded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new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‘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sharing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represent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significant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opportunities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sector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innovate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increase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control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flows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circular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perspective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71BDF" w:rsidRPr="001853E2" w:rsidRDefault="00D71BDF" w:rsidP="00185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BDF" w:rsidRPr="001853E2" w:rsidTr="00AE34C6">
        <w:trPr>
          <w:trHeight w:val="567"/>
        </w:trPr>
        <w:tc>
          <w:tcPr>
            <w:tcW w:w="9182" w:type="dxa"/>
          </w:tcPr>
          <w:p w:rsidR="00D71BDF" w:rsidRPr="00500B4D" w:rsidRDefault="00D71BDF" w:rsidP="00500B4D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need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social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distinguishers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incentivises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technological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innovations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00B4D">
              <w:rPr>
                <w:rFonts w:ascii="Arial" w:hAnsi="Arial" w:cs="Arial"/>
                <w:sz w:val="20"/>
                <w:szCs w:val="20"/>
              </w:rPr>
              <w:t>traceability</w:t>
            </w:r>
            <w:proofErr w:type="spellEnd"/>
            <w:r w:rsidRPr="00500B4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71BDF" w:rsidRPr="001853E2" w:rsidRDefault="00D71BDF" w:rsidP="001853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1BDF" w:rsidRPr="001853E2" w:rsidRDefault="00D71BDF" w:rsidP="001853E2">
      <w:pPr>
        <w:rPr>
          <w:rFonts w:ascii="Arial" w:hAnsi="Arial" w:cs="Arial"/>
          <w:sz w:val="20"/>
          <w:szCs w:val="20"/>
        </w:rPr>
      </w:pPr>
      <w:r w:rsidRPr="001853E2">
        <w:rPr>
          <w:rFonts w:ascii="Arial" w:hAnsi="Arial" w:cs="Arial"/>
          <w:sz w:val="20"/>
          <w:szCs w:val="20"/>
        </w:rPr>
        <w:t>Vir: Vizija</w:t>
      </w:r>
    </w:p>
    <w:p w:rsidR="001853E2" w:rsidRPr="00500B4D" w:rsidRDefault="00D71BDF" w:rsidP="001853E2">
      <w:pPr>
        <w:rPr>
          <w:rFonts w:ascii="Arial" w:hAnsi="Arial" w:cs="Arial"/>
          <w:b/>
          <w:sz w:val="20"/>
          <w:szCs w:val="20"/>
        </w:rPr>
      </w:pPr>
      <w:r w:rsidRPr="00500B4D">
        <w:rPr>
          <w:rFonts w:ascii="Arial" w:hAnsi="Arial" w:cs="Arial"/>
          <w:b/>
          <w:sz w:val="20"/>
          <w:szCs w:val="20"/>
        </w:rPr>
        <w:t>Koristne informacije:</w:t>
      </w:r>
    </w:p>
    <w:p w:rsidR="00EF1EA6" w:rsidRPr="00500B4D" w:rsidRDefault="00D71BDF" w:rsidP="00500B4D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00B4D">
        <w:rPr>
          <w:rFonts w:ascii="Arial" w:hAnsi="Arial" w:cs="Arial"/>
          <w:sz w:val="20"/>
          <w:szCs w:val="20"/>
        </w:rPr>
        <w:t>Vizija:</w:t>
      </w:r>
    </w:p>
    <w:p w:rsidR="00D71BDF" w:rsidRPr="00500B4D" w:rsidRDefault="00D71BDF" w:rsidP="00500B4D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hyperlink r:id="rId6" w:history="1">
        <w:r w:rsidRPr="00500B4D">
          <w:rPr>
            <w:rStyle w:val="Hiperpovezava"/>
            <w:rFonts w:ascii="Arial" w:hAnsi="Arial" w:cs="Arial"/>
            <w:sz w:val="20"/>
            <w:szCs w:val="20"/>
          </w:rPr>
          <w:t>http://publications.jrc.ec.europa.eu/repository/bitstream/JRC106071/jrc106071_non-ferrous_metals_sector_-_vision_for_2050_and_actions_needed_online.pdf</w:t>
        </w:r>
      </w:hyperlink>
    </w:p>
    <w:p w:rsidR="00D71BDF" w:rsidRPr="00500B4D" w:rsidRDefault="00D71BDF" w:rsidP="00500B4D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00B4D">
        <w:rPr>
          <w:rFonts w:ascii="Arial" w:hAnsi="Arial" w:cs="Arial"/>
          <w:sz w:val="20"/>
          <w:szCs w:val="20"/>
        </w:rPr>
        <w:t xml:space="preserve">Spletna stran Evropske komisije z informacijami o </w:t>
      </w:r>
      <w:proofErr w:type="spellStart"/>
      <w:r w:rsidRPr="00500B4D">
        <w:rPr>
          <w:rFonts w:ascii="Arial" w:hAnsi="Arial" w:cs="Arial"/>
          <w:sz w:val="20"/>
          <w:szCs w:val="20"/>
        </w:rPr>
        <w:t>neželezovih</w:t>
      </w:r>
      <w:proofErr w:type="spellEnd"/>
      <w:r w:rsidRPr="00500B4D">
        <w:rPr>
          <w:rFonts w:ascii="Arial" w:hAnsi="Arial" w:cs="Arial"/>
          <w:sz w:val="20"/>
          <w:szCs w:val="20"/>
        </w:rPr>
        <w:t xml:space="preserve"> kovinah:</w:t>
      </w:r>
    </w:p>
    <w:p w:rsidR="00D71BDF" w:rsidRPr="00500B4D" w:rsidRDefault="00D71BDF" w:rsidP="00500B4D">
      <w:pPr>
        <w:pStyle w:val="Odstavekseznam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hyperlink r:id="rId7" w:history="1">
        <w:r w:rsidRPr="00500B4D">
          <w:rPr>
            <w:rStyle w:val="Hiperpovezava"/>
            <w:rFonts w:ascii="Arial" w:hAnsi="Arial" w:cs="Arial"/>
            <w:sz w:val="20"/>
            <w:szCs w:val="20"/>
          </w:rPr>
          <w:t>https://ec.europa.eu/growth/sectors/raw-materials/industries/metals/non-ferrous_sl</w:t>
        </w:r>
      </w:hyperlink>
    </w:p>
    <w:p w:rsidR="00D71BDF" w:rsidRPr="001853E2" w:rsidRDefault="00D71BDF" w:rsidP="001853E2">
      <w:pPr>
        <w:rPr>
          <w:rFonts w:ascii="Arial" w:hAnsi="Arial" w:cs="Arial"/>
          <w:sz w:val="20"/>
          <w:szCs w:val="20"/>
        </w:rPr>
      </w:pPr>
      <w:r w:rsidRPr="001853E2">
        <w:rPr>
          <w:rFonts w:ascii="Arial" w:hAnsi="Arial" w:cs="Arial"/>
          <w:sz w:val="20"/>
          <w:szCs w:val="20"/>
        </w:rPr>
        <w:t>Pripravila:</w:t>
      </w:r>
      <w:r w:rsidRPr="001853E2">
        <w:rPr>
          <w:rFonts w:ascii="Arial" w:hAnsi="Arial" w:cs="Arial"/>
          <w:sz w:val="20"/>
          <w:szCs w:val="20"/>
        </w:rPr>
        <w:br/>
        <w:t>Darja Kocbek</w:t>
      </w:r>
    </w:p>
    <w:p w:rsidR="00D71BDF" w:rsidRDefault="00D71BDF"/>
    <w:sectPr w:rsidR="00D71BDF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C Square Sans Pro">
    <w:altName w:val="EC Squar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966CB"/>
    <w:multiLevelType w:val="hybridMultilevel"/>
    <w:tmpl w:val="15EA08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C40A1"/>
    <w:multiLevelType w:val="hybridMultilevel"/>
    <w:tmpl w:val="FE326D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30F45"/>
    <w:multiLevelType w:val="hybridMultilevel"/>
    <w:tmpl w:val="16AABC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A71D1"/>
    <w:multiLevelType w:val="hybridMultilevel"/>
    <w:tmpl w:val="64AEE3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161F2"/>
    <w:multiLevelType w:val="hybridMultilevel"/>
    <w:tmpl w:val="953CA2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1EA6"/>
    <w:rsid w:val="001853E2"/>
    <w:rsid w:val="003C3DC0"/>
    <w:rsid w:val="00500B4D"/>
    <w:rsid w:val="00AE34C6"/>
    <w:rsid w:val="00B459D4"/>
    <w:rsid w:val="00C724A0"/>
    <w:rsid w:val="00D71BDF"/>
    <w:rsid w:val="00EF1EA6"/>
    <w:rsid w:val="00E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F53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D71BD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1BDF"/>
    <w:pPr>
      <w:autoSpaceDE w:val="0"/>
      <w:autoSpaceDN w:val="0"/>
      <w:adjustRightInd w:val="0"/>
      <w:spacing w:after="0" w:afterAutospacing="0"/>
      <w:jc w:val="left"/>
    </w:pPr>
    <w:rPr>
      <w:rFonts w:ascii="EC Square Sans Pro" w:hAnsi="EC Square Sans Pro" w:cs="EC Square Sans Pro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D71BD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00B4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F53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533A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5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growth/sectors/raw-materials/industries/metals/non-ferrous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s.jrc.ec.europa.eu/repository/bitstream/JRC106071/jrc106071_non-ferrous_metals_sector_-_vision_for_2050_and_actions_needed_online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2017-05-23T19:08:00Z</dcterms:created>
  <dcterms:modified xsi:type="dcterms:W3CDTF">2017-05-23T19:47:00Z</dcterms:modified>
</cp:coreProperties>
</file>