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A7E" w:rsidRPr="008B0C84" w:rsidRDefault="00187A7E" w:rsidP="00187A7E">
      <w:pPr>
        <w:tabs>
          <w:tab w:val="left" w:pos="2520"/>
          <w:tab w:val="left" w:pos="2700"/>
          <w:tab w:val="left" w:pos="3120"/>
        </w:tabs>
        <w:spacing w:after="0"/>
        <w:jc w:val="center"/>
      </w:pPr>
      <w:r w:rsidRPr="008B0C8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187A7E" w:rsidRPr="008B0C84" w:rsidRDefault="00187A7E" w:rsidP="00187A7E">
      <w:pPr>
        <w:pStyle w:val="Naslov2"/>
        <w:tabs>
          <w:tab w:val="left" w:pos="3120"/>
        </w:tabs>
        <w:spacing w:before="0"/>
        <w:jc w:val="center"/>
        <w:rPr>
          <w:sz w:val="22"/>
        </w:rPr>
      </w:pPr>
    </w:p>
    <w:p w:rsidR="00187A7E" w:rsidRPr="008B0C84" w:rsidRDefault="00187A7E" w:rsidP="00187A7E">
      <w:pPr>
        <w:pStyle w:val="Naslov2"/>
        <w:tabs>
          <w:tab w:val="left" w:pos="3120"/>
        </w:tabs>
        <w:spacing w:before="0"/>
        <w:jc w:val="center"/>
        <w:rPr>
          <w:b w:val="0"/>
          <w:bCs w:val="0"/>
          <w:i/>
          <w:iCs/>
          <w:sz w:val="22"/>
        </w:rPr>
      </w:pPr>
      <w:r w:rsidRPr="008B0C84">
        <w:rPr>
          <w:sz w:val="22"/>
        </w:rPr>
        <w:t>Slovensko gospodarsko in raziskovalno združenje, Bruselj</w:t>
      </w:r>
    </w:p>
    <w:p w:rsidR="00187A7E" w:rsidRPr="008B0C84" w:rsidRDefault="00187A7E" w:rsidP="00187A7E">
      <w:pPr>
        <w:pBdr>
          <w:bottom w:val="single" w:sz="6" w:space="1" w:color="auto"/>
        </w:pBdr>
        <w:tabs>
          <w:tab w:val="left" w:pos="3120"/>
        </w:tabs>
        <w:spacing w:after="0"/>
        <w:jc w:val="center"/>
        <w:rPr>
          <w:sz w:val="16"/>
          <w:szCs w:val="16"/>
        </w:rPr>
      </w:pPr>
    </w:p>
    <w:p w:rsidR="00187A7E" w:rsidRPr="008B0C84" w:rsidRDefault="00187A7E" w:rsidP="00187A7E">
      <w:pPr>
        <w:tabs>
          <w:tab w:val="left" w:pos="3120"/>
        </w:tabs>
        <w:spacing w:after="0"/>
        <w:rPr>
          <w:b/>
        </w:rPr>
      </w:pPr>
      <w:r w:rsidRPr="008B0C84">
        <w:rPr>
          <w:b/>
        </w:rPr>
        <w:tab/>
      </w:r>
    </w:p>
    <w:p w:rsidR="00187A7E" w:rsidRPr="008B0C84" w:rsidRDefault="00187A7E" w:rsidP="00187A7E">
      <w:pPr>
        <w:tabs>
          <w:tab w:val="left" w:pos="3120"/>
        </w:tabs>
        <w:spacing w:after="0"/>
        <w:jc w:val="center"/>
        <w:rPr>
          <w:b/>
        </w:rPr>
      </w:pPr>
      <w:r w:rsidRPr="008B0C84">
        <w:rPr>
          <w:b/>
        </w:rPr>
        <w:t>Občasna informacija članom 8</w:t>
      </w:r>
      <w:r>
        <w:rPr>
          <w:b/>
        </w:rPr>
        <w:t>6</w:t>
      </w:r>
      <w:r w:rsidRPr="008B0C84">
        <w:rPr>
          <w:b/>
        </w:rPr>
        <w:t xml:space="preserve"> – 2019</w:t>
      </w:r>
    </w:p>
    <w:p w:rsidR="00187A7E" w:rsidRPr="008B0C84" w:rsidRDefault="00187A7E" w:rsidP="00187A7E">
      <w:pPr>
        <w:tabs>
          <w:tab w:val="left" w:pos="3120"/>
        </w:tabs>
        <w:spacing w:after="0"/>
        <w:jc w:val="center"/>
        <w:rPr>
          <w:b/>
        </w:rPr>
      </w:pPr>
    </w:p>
    <w:p w:rsidR="00187A7E" w:rsidRPr="008B0C84" w:rsidRDefault="00187A7E" w:rsidP="00187A7E">
      <w:pPr>
        <w:tabs>
          <w:tab w:val="left" w:pos="3120"/>
        </w:tabs>
        <w:spacing w:after="0"/>
        <w:jc w:val="center"/>
        <w:rPr>
          <w:b/>
        </w:rPr>
      </w:pPr>
      <w:r>
        <w:rPr>
          <w:b/>
        </w:rPr>
        <w:t>03</w:t>
      </w:r>
      <w:r w:rsidRPr="008B0C84">
        <w:rPr>
          <w:b/>
        </w:rPr>
        <w:t xml:space="preserve">. </w:t>
      </w:r>
      <w:r>
        <w:rPr>
          <w:b/>
        </w:rPr>
        <w:t>junij</w:t>
      </w:r>
      <w:r w:rsidRPr="008B0C84">
        <w:rPr>
          <w:b/>
        </w:rPr>
        <w:t xml:space="preserve"> 2019</w:t>
      </w:r>
    </w:p>
    <w:p w:rsidR="00187A7E" w:rsidRPr="008B0C84" w:rsidRDefault="00187A7E" w:rsidP="00187A7E">
      <w:pPr>
        <w:tabs>
          <w:tab w:val="left" w:pos="3120"/>
        </w:tabs>
        <w:spacing w:after="0"/>
        <w:jc w:val="center"/>
        <w:rPr>
          <w:b/>
        </w:rPr>
      </w:pPr>
    </w:p>
    <w:p w:rsidR="00187A7E" w:rsidRDefault="00187A7E" w:rsidP="00187A7E">
      <w:pPr>
        <w:jc w:val="center"/>
        <w:rPr>
          <w:rFonts w:ascii="Arial" w:hAnsi="Arial" w:cs="Arial"/>
          <w:b/>
          <w:i/>
        </w:rPr>
      </w:pPr>
      <w:r>
        <w:rPr>
          <w:b/>
          <w:color w:val="993300"/>
          <w:sz w:val="32"/>
          <w:szCs w:val="32"/>
        </w:rPr>
        <w:t xml:space="preserve">Evropska komisija je sprejela nova pravila za varno upravljanje z </w:t>
      </w:r>
      <w:proofErr w:type="spellStart"/>
      <w:r>
        <w:rPr>
          <w:b/>
          <w:color w:val="993300"/>
          <w:sz w:val="32"/>
          <w:szCs w:val="32"/>
        </w:rPr>
        <w:t>droni</w:t>
      </w:r>
      <w:proofErr w:type="spellEnd"/>
    </w:p>
    <w:p w:rsidR="00D90BBB" w:rsidRPr="00D43EE5" w:rsidRDefault="00691D41" w:rsidP="00D43EE5">
      <w:pPr>
        <w:jc w:val="both"/>
        <w:rPr>
          <w:rFonts w:ascii="Arial" w:hAnsi="Arial" w:cs="Arial"/>
          <w:b/>
          <w:i/>
        </w:rPr>
      </w:pPr>
      <w:r w:rsidRPr="00D43EE5">
        <w:rPr>
          <w:rFonts w:ascii="Arial" w:hAnsi="Arial" w:cs="Arial"/>
          <w:b/>
          <w:i/>
        </w:rPr>
        <w:t xml:space="preserve">Evropska komisija je sprejela nova pravila za varno upravljanje z </w:t>
      </w:r>
      <w:proofErr w:type="spellStart"/>
      <w:r w:rsidRPr="00D43EE5">
        <w:rPr>
          <w:rFonts w:ascii="Arial" w:hAnsi="Arial" w:cs="Arial"/>
          <w:b/>
          <w:i/>
        </w:rPr>
        <w:t>droni</w:t>
      </w:r>
      <w:proofErr w:type="spellEnd"/>
      <w:r w:rsidRPr="00D43EE5">
        <w:rPr>
          <w:rFonts w:ascii="Arial" w:hAnsi="Arial" w:cs="Arial"/>
          <w:b/>
          <w:i/>
        </w:rPr>
        <w:t xml:space="preserve"> v EU. Od leta 2020 se bodo operaterji </w:t>
      </w:r>
      <w:proofErr w:type="spellStart"/>
      <w:r w:rsidRPr="00D43EE5">
        <w:rPr>
          <w:rFonts w:ascii="Arial" w:hAnsi="Arial" w:cs="Arial"/>
          <w:b/>
          <w:i/>
        </w:rPr>
        <w:t>dronov</w:t>
      </w:r>
      <w:proofErr w:type="spellEnd"/>
      <w:r w:rsidRPr="00D43EE5">
        <w:rPr>
          <w:rFonts w:ascii="Arial" w:hAnsi="Arial" w:cs="Arial"/>
          <w:b/>
          <w:i/>
        </w:rPr>
        <w:t xml:space="preserve"> morali registrirati pri nacionalnih organih. Države članice bodo lahko določile tako imenovana območja prepovedi letenja za </w:t>
      </w:r>
      <w:proofErr w:type="spellStart"/>
      <w:r w:rsidRPr="00D43EE5">
        <w:rPr>
          <w:rFonts w:ascii="Arial" w:hAnsi="Arial" w:cs="Arial"/>
          <w:b/>
          <w:i/>
        </w:rPr>
        <w:t>drone</w:t>
      </w:r>
      <w:proofErr w:type="spellEnd"/>
      <w:r w:rsidRPr="00D43EE5">
        <w:rPr>
          <w:rFonts w:ascii="Arial" w:hAnsi="Arial" w:cs="Arial"/>
          <w:b/>
          <w:i/>
        </w:rPr>
        <w:t xml:space="preserve">, katerih lokacija bo satelitsko opredeljena. Takšna območja bodo lahko zajemala letališča ali mestna središča. Registracija operaterjev, možnost identifikacije na daljavo in določitev geografskih območij naj bi nacionalnim organom omogočale boljše preprečevanje zlorab ali nezakonitih aktivnosti z </w:t>
      </w:r>
      <w:proofErr w:type="spellStart"/>
      <w:r w:rsidRPr="00D43EE5">
        <w:rPr>
          <w:rFonts w:ascii="Arial" w:hAnsi="Arial" w:cs="Arial"/>
          <w:b/>
          <w:i/>
        </w:rPr>
        <w:t>droni</w:t>
      </w:r>
      <w:proofErr w:type="spellEnd"/>
      <w:r w:rsidRPr="00D43EE5">
        <w:rPr>
          <w:rFonts w:ascii="Arial" w:hAnsi="Arial" w:cs="Arial"/>
          <w:b/>
          <w:i/>
        </w:rPr>
        <w:t>. Člani lahko podrobnejše informacije dobijo na SBRA.</w:t>
      </w:r>
    </w:p>
    <w:p w:rsidR="00C14BEB" w:rsidRPr="00D43EE5" w:rsidRDefault="00C14BEB" w:rsidP="00D43EE5">
      <w:pPr>
        <w:jc w:val="both"/>
        <w:rPr>
          <w:rFonts w:ascii="Arial" w:hAnsi="Arial" w:cs="Arial"/>
          <w:sz w:val="20"/>
          <w:szCs w:val="20"/>
        </w:rPr>
      </w:pPr>
      <w:r w:rsidRPr="00D43EE5">
        <w:rPr>
          <w:rFonts w:ascii="Arial" w:hAnsi="Arial" w:cs="Arial"/>
          <w:sz w:val="20"/>
          <w:szCs w:val="20"/>
        </w:rPr>
        <w:t xml:space="preserve">Pravila za varno upravljanje z </w:t>
      </w:r>
      <w:proofErr w:type="spellStart"/>
      <w:r w:rsidRPr="00D43EE5">
        <w:rPr>
          <w:rFonts w:ascii="Arial" w:hAnsi="Arial" w:cs="Arial"/>
          <w:sz w:val="20"/>
          <w:szCs w:val="20"/>
        </w:rPr>
        <w:t>droni</w:t>
      </w:r>
      <w:proofErr w:type="spellEnd"/>
      <w:r w:rsidRPr="00D43EE5">
        <w:rPr>
          <w:rFonts w:ascii="Arial" w:hAnsi="Arial" w:cs="Arial"/>
          <w:sz w:val="20"/>
          <w:szCs w:val="20"/>
        </w:rPr>
        <w:t xml:space="preserve"> v EU dopolnjujejo tehnične zahteve za </w:t>
      </w:r>
      <w:proofErr w:type="spellStart"/>
      <w:r w:rsidRPr="00D43EE5">
        <w:rPr>
          <w:rFonts w:ascii="Arial" w:hAnsi="Arial" w:cs="Arial"/>
          <w:sz w:val="20"/>
          <w:szCs w:val="20"/>
        </w:rPr>
        <w:t>drone</w:t>
      </w:r>
      <w:proofErr w:type="spellEnd"/>
      <w:r w:rsidRPr="00D43EE5">
        <w:rPr>
          <w:rFonts w:ascii="Arial" w:hAnsi="Arial" w:cs="Arial"/>
          <w:sz w:val="20"/>
          <w:szCs w:val="20"/>
        </w:rPr>
        <w:t xml:space="preserve">, ki jih je Evropska komisija sprejela marca. Veljala bodo tako za vse uporabnike vključno s </w:t>
      </w:r>
      <w:proofErr w:type="spellStart"/>
      <w:r w:rsidRPr="00D43EE5">
        <w:rPr>
          <w:rFonts w:ascii="Arial" w:hAnsi="Arial" w:cs="Arial"/>
          <w:sz w:val="20"/>
          <w:szCs w:val="20"/>
        </w:rPr>
        <w:t>s</w:t>
      </w:r>
      <w:proofErr w:type="spellEnd"/>
      <w:r w:rsidRPr="00D43EE5">
        <w:rPr>
          <w:rFonts w:ascii="Arial" w:hAnsi="Arial" w:cs="Arial"/>
          <w:sz w:val="20"/>
          <w:szCs w:val="20"/>
        </w:rPr>
        <w:t xml:space="preserve"> tistimi, za katere je uporaba </w:t>
      </w:r>
      <w:proofErr w:type="spellStart"/>
      <w:r w:rsidRPr="00D43EE5">
        <w:rPr>
          <w:rFonts w:ascii="Arial" w:hAnsi="Arial" w:cs="Arial"/>
          <w:sz w:val="20"/>
          <w:szCs w:val="20"/>
        </w:rPr>
        <w:t>dronov</w:t>
      </w:r>
      <w:proofErr w:type="spellEnd"/>
      <w:r w:rsidRPr="00D43EE5">
        <w:rPr>
          <w:rFonts w:ascii="Arial" w:hAnsi="Arial" w:cs="Arial"/>
          <w:sz w:val="20"/>
          <w:szCs w:val="20"/>
        </w:rPr>
        <w:t xml:space="preserve"> prostočasna dejavnost. Enotna evropska pravila bodo nadomestila pravila, ki so jih države članice sprejela na nacionalni ravni. Evropska komisija ocenjuje, da bo večina </w:t>
      </w:r>
      <w:proofErr w:type="spellStart"/>
      <w:r w:rsidRPr="00D43EE5">
        <w:rPr>
          <w:rFonts w:ascii="Arial" w:hAnsi="Arial" w:cs="Arial"/>
          <w:sz w:val="20"/>
          <w:szCs w:val="20"/>
        </w:rPr>
        <w:t>dronov</w:t>
      </w:r>
      <w:proofErr w:type="spellEnd"/>
      <w:r w:rsidRPr="00D43EE5">
        <w:rPr>
          <w:rFonts w:ascii="Arial" w:hAnsi="Arial" w:cs="Arial"/>
          <w:sz w:val="20"/>
          <w:szCs w:val="20"/>
        </w:rPr>
        <w:t xml:space="preserve">, za katere bodo veljala nova pravila, množično proizvedeni </w:t>
      </w:r>
      <w:proofErr w:type="spellStart"/>
      <w:r w:rsidRPr="00D43EE5">
        <w:rPr>
          <w:rFonts w:ascii="Arial" w:hAnsi="Arial" w:cs="Arial"/>
          <w:sz w:val="20"/>
          <w:szCs w:val="20"/>
        </w:rPr>
        <w:t>droni</w:t>
      </w:r>
      <w:proofErr w:type="spellEnd"/>
      <w:r w:rsidRPr="00D43EE5">
        <w:rPr>
          <w:rFonts w:ascii="Arial" w:hAnsi="Arial" w:cs="Arial"/>
          <w:sz w:val="20"/>
          <w:szCs w:val="20"/>
        </w:rPr>
        <w:t xml:space="preserve">, ki so na voljo na trgu. Zanje bodo veljale le osnovne zahteve, kot sta registracija in elektronska identifikacija. </w:t>
      </w:r>
    </w:p>
    <w:p w:rsidR="00C14BEB" w:rsidRPr="00D43EE5" w:rsidRDefault="00C14BEB" w:rsidP="00D43EE5">
      <w:pPr>
        <w:jc w:val="both"/>
        <w:rPr>
          <w:rFonts w:ascii="Arial" w:hAnsi="Arial" w:cs="Arial"/>
          <w:sz w:val="20"/>
          <w:szCs w:val="20"/>
        </w:rPr>
      </w:pPr>
      <w:r w:rsidRPr="00D43EE5">
        <w:rPr>
          <w:rFonts w:ascii="Arial" w:hAnsi="Arial" w:cs="Arial"/>
          <w:sz w:val="20"/>
          <w:szCs w:val="20"/>
        </w:rPr>
        <w:t>Evropska komisija napoveduje, da bo skupaj z Evropsko agencijo za varnost v letalstvu (EASA)</w:t>
      </w:r>
      <w:r w:rsidR="0048788C" w:rsidRPr="00D43EE5">
        <w:rPr>
          <w:rFonts w:ascii="Arial" w:hAnsi="Arial" w:cs="Arial"/>
          <w:sz w:val="20"/>
          <w:szCs w:val="20"/>
        </w:rPr>
        <w:t xml:space="preserve"> objavila smernice in tako imenovane »standardne scenarije« za upravljavce </w:t>
      </w:r>
      <w:proofErr w:type="spellStart"/>
      <w:r w:rsidR="0048788C" w:rsidRPr="00D43EE5">
        <w:rPr>
          <w:rFonts w:ascii="Arial" w:hAnsi="Arial" w:cs="Arial"/>
          <w:sz w:val="20"/>
          <w:szCs w:val="20"/>
        </w:rPr>
        <w:t>dronov</w:t>
      </w:r>
      <w:proofErr w:type="spellEnd"/>
      <w:r w:rsidR="0048788C" w:rsidRPr="00D43EE5">
        <w:rPr>
          <w:rFonts w:ascii="Arial" w:hAnsi="Arial" w:cs="Arial"/>
          <w:sz w:val="20"/>
          <w:szCs w:val="20"/>
        </w:rPr>
        <w:t xml:space="preserve"> kot pomoč upravljavcem pri implementaciji novih pravil. </w:t>
      </w:r>
    </w:p>
    <w:p w:rsidR="0048788C" w:rsidRPr="00D43EE5" w:rsidRDefault="0048788C" w:rsidP="00D43EE5">
      <w:pPr>
        <w:jc w:val="both"/>
        <w:rPr>
          <w:rFonts w:ascii="Arial" w:hAnsi="Arial" w:cs="Arial"/>
          <w:b/>
          <w:sz w:val="20"/>
          <w:szCs w:val="20"/>
        </w:rPr>
      </w:pPr>
      <w:r w:rsidRPr="00D43EE5">
        <w:rPr>
          <w:rFonts w:ascii="Arial" w:hAnsi="Arial" w:cs="Arial"/>
          <w:b/>
          <w:sz w:val="20"/>
          <w:szCs w:val="20"/>
        </w:rPr>
        <w:t>Koristne informacije:</w:t>
      </w:r>
    </w:p>
    <w:p w:rsidR="0048788C" w:rsidRPr="00D43EE5" w:rsidRDefault="0048788C" w:rsidP="00D43EE5">
      <w:pPr>
        <w:pStyle w:val="Odstavekseznama"/>
        <w:numPr>
          <w:ilvl w:val="0"/>
          <w:numId w:val="1"/>
        </w:numPr>
        <w:jc w:val="both"/>
        <w:rPr>
          <w:rFonts w:ascii="Arial" w:hAnsi="Arial" w:cs="Arial"/>
          <w:sz w:val="20"/>
          <w:szCs w:val="20"/>
        </w:rPr>
      </w:pPr>
      <w:r w:rsidRPr="00D43EE5">
        <w:rPr>
          <w:rFonts w:ascii="Arial" w:hAnsi="Arial" w:cs="Arial"/>
          <w:sz w:val="20"/>
          <w:szCs w:val="20"/>
        </w:rPr>
        <w:t>Spletna stran z in formacijami o novih pravilih s povezavami na dokumente:</w:t>
      </w:r>
    </w:p>
    <w:p w:rsidR="0048788C" w:rsidRPr="00D43EE5" w:rsidRDefault="0048788C" w:rsidP="00D43EE5">
      <w:pPr>
        <w:pStyle w:val="Odstavekseznama"/>
        <w:numPr>
          <w:ilvl w:val="0"/>
          <w:numId w:val="1"/>
        </w:numPr>
        <w:jc w:val="both"/>
        <w:rPr>
          <w:rFonts w:ascii="Arial" w:hAnsi="Arial" w:cs="Arial"/>
          <w:sz w:val="20"/>
          <w:szCs w:val="20"/>
        </w:rPr>
      </w:pPr>
      <w:hyperlink r:id="rId6" w:history="1">
        <w:r w:rsidRPr="00D43EE5">
          <w:rPr>
            <w:rStyle w:val="Hiperpovezava"/>
            <w:rFonts w:ascii="Arial" w:hAnsi="Arial" w:cs="Arial"/>
            <w:sz w:val="20"/>
            <w:szCs w:val="20"/>
          </w:rPr>
          <w:t>https://ec.europa.eu/transport/modes/air/news/2019-05-24-rules-operating-drones_en</w:t>
        </w:r>
      </w:hyperlink>
    </w:p>
    <w:p w:rsidR="0048788C" w:rsidRPr="00D43EE5" w:rsidRDefault="0048788C" w:rsidP="00D43EE5">
      <w:pPr>
        <w:spacing w:after="0"/>
        <w:jc w:val="both"/>
        <w:rPr>
          <w:rFonts w:ascii="Arial" w:hAnsi="Arial" w:cs="Arial"/>
          <w:sz w:val="20"/>
          <w:szCs w:val="20"/>
        </w:rPr>
      </w:pPr>
      <w:r w:rsidRPr="00D43EE5">
        <w:rPr>
          <w:rFonts w:ascii="Arial" w:hAnsi="Arial" w:cs="Arial"/>
          <w:sz w:val="20"/>
          <w:szCs w:val="20"/>
        </w:rPr>
        <w:t>Pripravila:</w:t>
      </w:r>
    </w:p>
    <w:p w:rsidR="0048788C" w:rsidRPr="00D43EE5" w:rsidRDefault="0048788C" w:rsidP="00D43EE5">
      <w:pPr>
        <w:spacing w:after="0"/>
        <w:jc w:val="both"/>
        <w:rPr>
          <w:rFonts w:ascii="Arial" w:hAnsi="Arial" w:cs="Arial"/>
          <w:sz w:val="20"/>
          <w:szCs w:val="20"/>
        </w:rPr>
      </w:pPr>
      <w:r w:rsidRPr="00D43EE5">
        <w:rPr>
          <w:rFonts w:ascii="Arial" w:hAnsi="Arial" w:cs="Arial"/>
          <w:sz w:val="20"/>
          <w:szCs w:val="20"/>
        </w:rPr>
        <w:t>Darja Kocbek</w:t>
      </w:r>
    </w:p>
    <w:sectPr w:rsidR="0048788C" w:rsidRPr="00D43EE5" w:rsidSect="00D90B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2C0F"/>
    <w:multiLevelType w:val="hybridMultilevel"/>
    <w:tmpl w:val="0B2AC3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91D41"/>
    <w:rsid w:val="00187A7E"/>
    <w:rsid w:val="0048788C"/>
    <w:rsid w:val="00691D41"/>
    <w:rsid w:val="00C14BEB"/>
    <w:rsid w:val="00D43EE5"/>
    <w:rsid w:val="00D90BB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90BBB"/>
  </w:style>
  <w:style w:type="paragraph" w:styleId="Naslov2">
    <w:name w:val="heading 2"/>
    <w:basedOn w:val="Navaden"/>
    <w:next w:val="Navaden"/>
    <w:link w:val="Naslov2Znak"/>
    <w:uiPriority w:val="9"/>
    <w:semiHidden/>
    <w:unhideWhenUsed/>
    <w:qFormat/>
    <w:rsid w:val="00187A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8788C"/>
    <w:rPr>
      <w:color w:val="0000FF" w:themeColor="hyperlink"/>
      <w:u w:val="single"/>
    </w:rPr>
  </w:style>
  <w:style w:type="paragraph" w:styleId="Odstavekseznama">
    <w:name w:val="List Paragraph"/>
    <w:basedOn w:val="Navaden"/>
    <w:uiPriority w:val="34"/>
    <w:qFormat/>
    <w:rsid w:val="00D43EE5"/>
    <w:pPr>
      <w:ind w:left="720"/>
      <w:contextualSpacing/>
    </w:pPr>
  </w:style>
  <w:style w:type="character" w:customStyle="1" w:styleId="Naslov2Znak">
    <w:name w:val="Naslov 2 Znak"/>
    <w:basedOn w:val="Privzetapisavaodstavka"/>
    <w:link w:val="Naslov2"/>
    <w:uiPriority w:val="9"/>
    <w:semiHidden/>
    <w:rsid w:val="00187A7E"/>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187A7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87A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transport/modes/air/news/2019-05-24-rules-operating-drones_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289</Words>
  <Characters>1609</Characters>
  <Application>Microsoft Office Word</Application>
  <DocSecurity>0</DocSecurity>
  <Lines>24</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2019-05-28T18:32:00Z</dcterms:created>
  <dcterms:modified xsi:type="dcterms:W3CDTF">2019-05-28T19:04:00Z</dcterms:modified>
</cp:coreProperties>
</file>