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FE" w:rsidRPr="00467345" w:rsidRDefault="00AD27FE" w:rsidP="00AD27FE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7FE" w:rsidRPr="00301C78" w:rsidRDefault="00AD27FE" w:rsidP="00AD27FE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D27FE" w:rsidRPr="00083714" w:rsidRDefault="00AD27FE" w:rsidP="00AD27FE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AD27FE" w:rsidRDefault="00AD27FE" w:rsidP="00AD27FE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84 </w:t>
      </w:r>
      <w:r w:rsidRPr="00083714">
        <w:rPr>
          <w:b/>
        </w:rPr>
        <w:t>– 20</w:t>
      </w:r>
      <w:r>
        <w:rPr>
          <w:b/>
        </w:rPr>
        <w:t>23</w:t>
      </w:r>
    </w:p>
    <w:p w:rsidR="00AD27FE" w:rsidRDefault="00AD27FE" w:rsidP="00AD27FE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22. maj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343DB2" w:rsidRDefault="007074EA" w:rsidP="007074EA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 je revidiran okvir za spremljanje krožnega gospodarstva</w:t>
      </w:r>
    </w:p>
    <w:p w:rsidR="000D04D8" w:rsidRPr="00343DB2" w:rsidRDefault="000D04D8" w:rsidP="00962F82">
      <w:pPr>
        <w:jc w:val="both"/>
        <w:rPr>
          <w:rFonts w:ascii="Arial" w:hAnsi="Arial" w:cs="Arial"/>
          <w:b/>
          <w:i/>
        </w:rPr>
      </w:pPr>
      <w:r w:rsidRPr="00343DB2">
        <w:rPr>
          <w:rFonts w:ascii="Arial" w:hAnsi="Arial" w:cs="Arial"/>
          <w:b/>
          <w:i/>
        </w:rPr>
        <w:t>Evropska komisija je objavila revidiran okvir za spremljanje krožnega gospodarstva, ki vključuje nove kazalnike, kot sta odtis materialov in produktivnost virov. Ti kazalniki spremljajo snovno učinkovitost sistema proizvodnje in porabe v EU. Revidiran okvir vključuje tudi nove kazalnike za merjenje napredka pri doseganju ciljev preprečevanja nastajanja odpadkov. Poleg tega spremlja prispevek krožnega gospodarstva k trajnosti, podnebni nevtralnosti in odpornosti, pri čemer upošteva potrošniški odtis, emisije toplogrednih plinov iz proizvodnih dejavnosti, odvisnost od uvoza materialov in samozadostnost EU pri kritičnih surovinah.</w:t>
      </w:r>
    </w:p>
    <w:p w:rsidR="00D37DA3" w:rsidRPr="00343DB2" w:rsidRDefault="00D37DA3" w:rsidP="00962F82">
      <w:pPr>
        <w:jc w:val="both"/>
        <w:rPr>
          <w:rFonts w:ascii="Arial" w:hAnsi="Arial" w:cs="Arial"/>
          <w:b/>
          <w:sz w:val="20"/>
          <w:szCs w:val="20"/>
        </w:rPr>
      </w:pPr>
      <w:r w:rsidRPr="00343DB2">
        <w:rPr>
          <w:rFonts w:ascii="Arial" w:hAnsi="Arial" w:cs="Arial"/>
          <w:b/>
          <w:sz w:val="20"/>
          <w:szCs w:val="20"/>
        </w:rPr>
        <w:t>Tabela 1: Kazalniki v okviru za spremljanje krožnega gospodarstva 2023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D37DA3" w:rsidRPr="007074EA" w:rsidTr="00D37DA3"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74EA">
              <w:rPr>
                <w:rFonts w:ascii="Arial" w:hAnsi="Arial" w:cs="Arial"/>
                <w:b/>
                <w:sz w:val="18"/>
                <w:szCs w:val="18"/>
              </w:rPr>
              <w:t>Kazalnik</w:t>
            </w:r>
          </w:p>
        </w:tc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74EA">
              <w:rPr>
                <w:rFonts w:ascii="Arial" w:hAnsi="Arial" w:cs="Arial"/>
                <w:b/>
                <w:sz w:val="18"/>
                <w:szCs w:val="18"/>
              </w:rPr>
              <w:t>Ustreznost</w:t>
            </w:r>
          </w:p>
        </w:tc>
      </w:tr>
      <w:tr w:rsidR="00D37DA3" w:rsidRPr="007074EA" w:rsidTr="00D37DA3"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>Poraba materialov</w:t>
            </w:r>
          </w:p>
        </w:tc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>Zmanjšanje porabe materialov kaže ločevanje gospodarske rasti od rabe virov.</w:t>
            </w:r>
          </w:p>
        </w:tc>
      </w:tr>
      <w:tr w:rsidR="00D37DA3" w:rsidRPr="007074EA" w:rsidTr="00D37DA3"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>Zelena javna naročila</w:t>
            </w:r>
          </w:p>
        </w:tc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>Javna naročila predstavljajo velik delež porabe in lahko spodbudijo krožno gospodarstvo.</w:t>
            </w:r>
          </w:p>
        </w:tc>
      </w:tr>
      <w:tr w:rsidR="00D37DA3" w:rsidRPr="007074EA" w:rsidTr="00D37DA3"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>Nastajanje odpadkov</w:t>
            </w:r>
          </w:p>
        </w:tc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>V krožnem gospodarstvu je nastajanje odpadkov zmanjšano na najmanjšo možno mero.</w:t>
            </w:r>
          </w:p>
        </w:tc>
      </w:tr>
      <w:tr w:rsidR="00D37DA3" w:rsidRPr="007074EA" w:rsidTr="00D37DA3"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>Skupne stopnje recikliranja</w:t>
            </w:r>
          </w:p>
        </w:tc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>Okrepitev recikliranja je sestavni del prehoda na krožno gospodarstvo.</w:t>
            </w:r>
          </w:p>
        </w:tc>
      </w:tr>
      <w:tr w:rsidR="00D37DA3" w:rsidRPr="007074EA" w:rsidTr="00D37DA3"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>Stopnje recikliranja za posamezne tokove odpadkov</w:t>
            </w:r>
          </w:p>
        </w:tc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 xml:space="preserve">Napredek pri recikliranju ključnih tokov odpadkov je bistven za </w:t>
            </w:r>
            <w:proofErr w:type="spellStart"/>
            <w:r w:rsidRPr="007074EA">
              <w:rPr>
                <w:rFonts w:ascii="Arial" w:hAnsi="Arial" w:cs="Arial"/>
                <w:sz w:val="18"/>
                <w:szCs w:val="18"/>
              </w:rPr>
              <w:t>trajnostnost</w:t>
            </w:r>
            <w:proofErr w:type="spellEnd"/>
            <w:r w:rsidRPr="007074EA">
              <w:rPr>
                <w:rFonts w:ascii="Arial" w:hAnsi="Arial" w:cs="Arial"/>
                <w:sz w:val="18"/>
                <w:szCs w:val="18"/>
              </w:rPr>
              <w:t xml:space="preserve"> in odpornost.</w:t>
            </w:r>
          </w:p>
        </w:tc>
      </w:tr>
      <w:tr w:rsidR="00D37DA3" w:rsidRPr="007074EA" w:rsidTr="00D37DA3"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>Prispevek recikliranih materialov k pokrivanju potreb po surovinah</w:t>
            </w:r>
          </w:p>
        </w:tc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>V krožnem gospodarstvu se za izdelavo novih proizvodov običajno uporabljajo sekundarne surovine.</w:t>
            </w:r>
          </w:p>
        </w:tc>
      </w:tr>
      <w:tr w:rsidR="00D37DA3" w:rsidRPr="007074EA" w:rsidTr="00D37DA3"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>Trgovanje s surovinami, ki jih je mogoče reciklirati</w:t>
            </w:r>
          </w:p>
        </w:tc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>V trgovanju s surovinami, ki jih je mogoče reciklirati, se odraža pomen notranjega trga in udeležbe v krožnem gospodarstvu na svetovni ravni.</w:t>
            </w:r>
          </w:p>
        </w:tc>
      </w:tr>
      <w:tr w:rsidR="00D37DA3" w:rsidRPr="007074EA" w:rsidTr="00D37DA3"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>Zasebne naložbe, delovna mesta in bruto dodana vrednost, povezani s sektorji krožnega gospodarstva</w:t>
            </w:r>
          </w:p>
        </w:tc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>Krožno gospodarstvo lahko prispeva k ustvarjanju delovnih mest in gospodarski rasti.</w:t>
            </w:r>
          </w:p>
        </w:tc>
      </w:tr>
      <w:tr w:rsidR="00D37DA3" w:rsidRPr="007074EA" w:rsidTr="00D37DA3"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>Zelene inovacije</w:t>
            </w:r>
          </w:p>
        </w:tc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>Inovativne tehnologije, povezane s krožnim gospodarstvom, spodbujajo konkurenčnost EU na svetovni ravni.</w:t>
            </w:r>
          </w:p>
        </w:tc>
      </w:tr>
      <w:tr w:rsidR="00D37DA3" w:rsidRPr="007074EA" w:rsidTr="00D37DA3"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 xml:space="preserve">Globalna </w:t>
            </w:r>
            <w:proofErr w:type="spellStart"/>
            <w:r w:rsidRPr="007074EA">
              <w:rPr>
                <w:rFonts w:ascii="Arial" w:hAnsi="Arial" w:cs="Arial"/>
                <w:sz w:val="18"/>
                <w:szCs w:val="18"/>
              </w:rPr>
              <w:t>trajnostnost</w:t>
            </w:r>
            <w:proofErr w:type="spellEnd"/>
          </w:p>
        </w:tc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 xml:space="preserve">Odtis porabe kaže, v kolikšni meri sta sistema proizvodnje in porabe znotraj omejitev planeta. Krožno gospodarstvo prispeva k podnebni nevtralnosti. </w:t>
            </w:r>
          </w:p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DA3" w:rsidRPr="007074EA" w:rsidTr="00D37DA3"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>Odpornost</w:t>
            </w:r>
          </w:p>
        </w:tc>
        <w:tc>
          <w:tcPr>
            <w:tcW w:w="4606" w:type="dxa"/>
          </w:tcPr>
          <w:p w:rsidR="00D37DA3" w:rsidRPr="007074EA" w:rsidRDefault="00D37DA3" w:rsidP="00962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4EA">
              <w:rPr>
                <w:rFonts w:ascii="Arial" w:hAnsi="Arial" w:cs="Arial"/>
                <w:sz w:val="18"/>
                <w:szCs w:val="18"/>
              </w:rPr>
              <w:t>Krožno gospodarstvo prispeva k zanesljivosti oskrbe s surovinami in je v pomoč pri reševanju tveganj na področju oskrbe s surovinami, še posebej kritičnimi.</w:t>
            </w:r>
          </w:p>
        </w:tc>
      </w:tr>
    </w:tbl>
    <w:p w:rsidR="002D1DFC" w:rsidRPr="007074EA" w:rsidRDefault="00D37DA3" w:rsidP="00962F82">
      <w:pPr>
        <w:jc w:val="both"/>
        <w:rPr>
          <w:rFonts w:ascii="Arial" w:hAnsi="Arial" w:cs="Arial"/>
          <w:sz w:val="18"/>
          <w:szCs w:val="18"/>
        </w:rPr>
      </w:pPr>
      <w:r w:rsidRPr="007074EA">
        <w:rPr>
          <w:rFonts w:ascii="Arial" w:hAnsi="Arial" w:cs="Arial"/>
          <w:sz w:val="18"/>
          <w:szCs w:val="18"/>
        </w:rPr>
        <w:t>Vir Evropska komisija</w:t>
      </w:r>
    </w:p>
    <w:p w:rsidR="00D37DA3" w:rsidRPr="00343DB2" w:rsidRDefault="00D37DA3" w:rsidP="00962F82">
      <w:pPr>
        <w:jc w:val="both"/>
        <w:rPr>
          <w:rFonts w:ascii="Arial" w:hAnsi="Arial" w:cs="Arial"/>
          <w:b/>
          <w:sz w:val="20"/>
          <w:szCs w:val="20"/>
        </w:rPr>
      </w:pPr>
      <w:r w:rsidRPr="00343DB2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D37DA3" w:rsidRPr="00343DB2" w:rsidRDefault="00D37DA3" w:rsidP="00343DB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43DB2">
        <w:rPr>
          <w:rFonts w:ascii="Arial" w:hAnsi="Arial" w:cs="Arial"/>
          <w:sz w:val="20"/>
          <w:szCs w:val="20"/>
        </w:rPr>
        <w:t>Informacije o revidiranem okviru s povezavami na dokumente:</w:t>
      </w:r>
    </w:p>
    <w:p w:rsidR="00D37DA3" w:rsidRPr="00343DB2" w:rsidRDefault="00D37DA3" w:rsidP="00343DB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343DB2">
          <w:rPr>
            <w:rStyle w:val="Hiperpovezava"/>
            <w:rFonts w:ascii="Arial" w:hAnsi="Arial" w:cs="Arial"/>
            <w:sz w:val="20"/>
            <w:szCs w:val="20"/>
          </w:rPr>
          <w:t>https://environment.ec.europa.eu/news/circular-economy-faster-progress-needed-meet-eu-resource-efficiency-targets-ensure-sustainable-use-2023-05-15_sl</w:t>
        </w:r>
      </w:hyperlink>
    </w:p>
    <w:p w:rsidR="00D37DA3" w:rsidRPr="00962F82" w:rsidRDefault="00D37DA3" w:rsidP="00343DB2">
      <w:pPr>
        <w:spacing w:after="0"/>
        <w:jc w:val="both"/>
        <w:rPr>
          <w:rFonts w:ascii="Arial" w:hAnsi="Arial" w:cs="Arial"/>
          <w:sz w:val="20"/>
          <w:szCs w:val="20"/>
        </w:rPr>
      </w:pPr>
      <w:r w:rsidRPr="00962F82">
        <w:rPr>
          <w:rFonts w:ascii="Arial" w:hAnsi="Arial" w:cs="Arial"/>
          <w:sz w:val="20"/>
          <w:szCs w:val="20"/>
        </w:rPr>
        <w:t>Pripravila:</w:t>
      </w:r>
    </w:p>
    <w:p w:rsidR="00D37DA3" w:rsidRPr="00962F82" w:rsidRDefault="00D37DA3" w:rsidP="00343DB2">
      <w:pPr>
        <w:spacing w:after="0"/>
        <w:jc w:val="both"/>
        <w:rPr>
          <w:rFonts w:ascii="Arial" w:hAnsi="Arial" w:cs="Arial"/>
          <w:sz w:val="20"/>
          <w:szCs w:val="20"/>
        </w:rPr>
      </w:pPr>
      <w:r w:rsidRPr="00962F82">
        <w:rPr>
          <w:rFonts w:ascii="Arial" w:hAnsi="Arial" w:cs="Arial"/>
          <w:sz w:val="20"/>
          <w:szCs w:val="20"/>
        </w:rPr>
        <w:t>Darja Kocbek</w:t>
      </w:r>
    </w:p>
    <w:sectPr w:rsidR="00D37DA3" w:rsidRPr="00962F82" w:rsidSect="002D1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F3C5F"/>
    <w:multiLevelType w:val="hybridMultilevel"/>
    <w:tmpl w:val="3BBAB5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12E0E"/>
    <w:multiLevelType w:val="hybridMultilevel"/>
    <w:tmpl w:val="1F8CB3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04D8"/>
    <w:rsid w:val="000D04D8"/>
    <w:rsid w:val="002D1DFC"/>
    <w:rsid w:val="00343DB2"/>
    <w:rsid w:val="007074EA"/>
    <w:rsid w:val="00962F82"/>
    <w:rsid w:val="00AD27FE"/>
    <w:rsid w:val="00C413C2"/>
    <w:rsid w:val="00D3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D1DFC"/>
  </w:style>
  <w:style w:type="paragraph" w:styleId="Naslov2">
    <w:name w:val="heading 2"/>
    <w:basedOn w:val="Navaden"/>
    <w:link w:val="Naslov2Znak"/>
    <w:uiPriority w:val="9"/>
    <w:qFormat/>
    <w:rsid w:val="00AD27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8104434888msonormal">
    <w:name w:val="yiv8104434888msonormal"/>
    <w:basedOn w:val="Navaden"/>
    <w:rsid w:val="000D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-mrea">
    <w:name w:val="Table Grid"/>
    <w:basedOn w:val="Navadnatabela"/>
    <w:uiPriority w:val="59"/>
    <w:rsid w:val="00D37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basedOn w:val="Navaden"/>
    <w:rsid w:val="00D3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37DA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43DB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AD27F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2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vironment.ec.europa.eu/news/circular-economy-faster-progress-needed-meet-eu-resource-efficiency-targets-ensure-sustainable-use-2023-05-15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2023-05-16T19:05:00Z</dcterms:created>
  <dcterms:modified xsi:type="dcterms:W3CDTF">2023-05-16T19:26:00Z</dcterms:modified>
</cp:coreProperties>
</file>