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911" w:rsidRPr="00F973D8" w:rsidRDefault="000A2911" w:rsidP="000A2911">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A2911" w:rsidRPr="00F973D8" w:rsidRDefault="000A2911" w:rsidP="000A2911">
      <w:pPr>
        <w:pStyle w:val="Heading2"/>
        <w:tabs>
          <w:tab w:val="left" w:pos="3120"/>
        </w:tabs>
        <w:jc w:val="center"/>
        <w:rPr>
          <w:b w:val="0"/>
          <w:bCs w:val="0"/>
          <w:i/>
          <w:iCs/>
          <w:sz w:val="22"/>
        </w:rPr>
      </w:pPr>
      <w:r w:rsidRPr="00F973D8">
        <w:rPr>
          <w:b w:val="0"/>
          <w:bCs w:val="0"/>
          <w:sz w:val="22"/>
        </w:rPr>
        <w:t>Slovensko gospodarsko in raziskovalno združenje, Bruselj</w:t>
      </w:r>
    </w:p>
    <w:p w:rsidR="000A2911" w:rsidRPr="00F973D8" w:rsidRDefault="000A2911" w:rsidP="000A2911">
      <w:pPr>
        <w:pBdr>
          <w:bottom w:val="single" w:sz="6" w:space="1" w:color="auto"/>
        </w:pBdr>
        <w:tabs>
          <w:tab w:val="left" w:pos="3120"/>
        </w:tabs>
        <w:jc w:val="center"/>
        <w:rPr>
          <w:sz w:val="16"/>
          <w:szCs w:val="16"/>
        </w:rPr>
      </w:pPr>
    </w:p>
    <w:p w:rsidR="000A2911" w:rsidRPr="000C7077" w:rsidRDefault="000A2911" w:rsidP="000A2911">
      <w:pPr>
        <w:tabs>
          <w:tab w:val="left" w:pos="3120"/>
        </w:tabs>
        <w:jc w:val="center"/>
        <w:rPr>
          <w:rFonts w:ascii="Arial" w:hAnsi="Arial" w:cs="Arial"/>
          <w:b/>
        </w:rPr>
      </w:pPr>
      <w:r w:rsidRPr="000C7077">
        <w:rPr>
          <w:rFonts w:ascii="Arial" w:hAnsi="Arial" w:cs="Arial"/>
          <w:b/>
        </w:rPr>
        <w:t xml:space="preserve">Občasna informacija članom </w:t>
      </w:r>
      <w:r w:rsidR="00DC67D8">
        <w:rPr>
          <w:rFonts w:ascii="Arial" w:hAnsi="Arial" w:cs="Arial"/>
          <w:b/>
        </w:rPr>
        <w:t>83</w:t>
      </w:r>
      <w:bookmarkStart w:id="0" w:name="_GoBack"/>
      <w:bookmarkEnd w:id="0"/>
      <w:r w:rsidRPr="000C7077">
        <w:rPr>
          <w:rFonts w:ascii="Arial" w:hAnsi="Arial" w:cs="Arial"/>
          <w:b/>
        </w:rPr>
        <w:t xml:space="preserve"> – 2018</w:t>
      </w:r>
    </w:p>
    <w:p w:rsidR="000A2911" w:rsidRPr="000C7077" w:rsidRDefault="000A2911" w:rsidP="000A2911">
      <w:pPr>
        <w:pStyle w:val="NoSpacing"/>
        <w:spacing w:after="100"/>
        <w:jc w:val="center"/>
        <w:rPr>
          <w:rFonts w:ascii="Arial" w:hAnsi="Arial" w:cs="Arial"/>
          <w:b/>
        </w:rPr>
      </w:pPr>
      <w:r>
        <w:rPr>
          <w:rFonts w:ascii="Arial" w:hAnsi="Arial" w:cs="Arial"/>
          <w:b/>
        </w:rPr>
        <w:t>21</w:t>
      </w:r>
      <w:r w:rsidRPr="000C7077">
        <w:rPr>
          <w:rFonts w:ascii="Arial" w:hAnsi="Arial" w:cs="Arial"/>
          <w:b/>
        </w:rPr>
        <w:t xml:space="preserve">. </w:t>
      </w:r>
      <w:r>
        <w:rPr>
          <w:rFonts w:ascii="Arial" w:hAnsi="Arial" w:cs="Arial"/>
          <w:b/>
        </w:rPr>
        <w:t>maj</w:t>
      </w:r>
      <w:r w:rsidRPr="000C7077">
        <w:rPr>
          <w:rFonts w:ascii="Arial" w:hAnsi="Arial" w:cs="Arial"/>
          <w:b/>
        </w:rPr>
        <w:t xml:space="preserve"> 2018</w:t>
      </w:r>
    </w:p>
    <w:p w:rsidR="000A2911" w:rsidRDefault="002468A6" w:rsidP="001141E8">
      <w:pPr>
        <w:jc w:val="center"/>
        <w:rPr>
          <w:rFonts w:ascii="Arial" w:hAnsi="Arial" w:cs="Arial"/>
          <w:b/>
          <w:i/>
        </w:rPr>
      </w:pPr>
      <w:r>
        <w:rPr>
          <w:rFonts w:ascii="Arial" w:hAnsi="Arial" w:cs="Arial"/>
          <w:b/>
          <w:color w:val="993300"/>
          <w:sz w:val="32"/>
          <w:szCs w:val="32"/>
        </w:rPr>
        <w:t>Evropska sredstva so na voljo tudi za pravkar sprejeti tretji sveženj ukrepov za posodobitev prometa</w:t>
      </w:r>
    </w:p>
    <w:p w:rsidR="00DD6D31" w:rsidRPr="009B7969" w:rsidRDefault="00673681" w:rsidP="009B7969">
      <w:pPr>
        <w:rPr>
          <w:rFonts w:ascii="Arial" w:hAnsi="Arial" w:cs="Arial"/>
          <w:b/>
          <w:i/>
        </w:rPr>
      </w:pPr>
      <w:r w:rsidRPr="009B7969">
        <w:rPr>
          <w:rFonts w:ascii="Arial" w:hAnsi="Arial" w:cs="Arial"/>
          <w:b/>
          <w:i/>
        </w:rPr>
        <w:t xml:space="preserve">Evropska komisija je sprejela </w:t>
      </w:r>
      <w:r w:rsidR="007A4337" w:rsidRPr="009B7969">
        <w:rPr>
          <w:rFonts w:ascii="Arial" w:hAnsi="Arial" w:cs="Arial"/>
          <w:b/>
          <w:i/>
        </w:rPr>
        <w:t xml:space="preserve">tretji in </w:t>
      </w:r>
      <w:r w:rsidRPr="009B7969">
        <w:rPr>
          <w:rFonts w:ascii="Arial" w:hAnsi="Arial" w:cs="Arial"/>
          <w:b/>
          <w:i/>
        </w:rPr>
        <w:t xml:space="preserve">zadnji sveženj ukrepov za posodobitev </w:t>
      </w:r>
      <w:r w:rsidR="001141E8">
        <w:rPr>
          <w:rFonts w:ascii="Arial" w:hAnsi="Arial" w:cs="Arial"/>
          <w:b/>
          <w:i/>
        </w:rPr>
        <w:t xml:space="preserve">evropskega </w:t>
      </w:r>
      <w:r w:rsidRPr="009B7969">
        <w:rPr>
          <w:rFonts w:ascii="Arial" w:hAnsi="Arial" w:cs="Arial"/>
          <w:b/>
          <w:i/>
        </w:rPr>
        <w:t>prometnega sistema.</w:t>
      </w:r>
      <w:r w:rsidR="00DD6D31" w:rsidRPr="009B7969">
        <w:rPr>
          <w:rFonts w:ascii="Arial" w:hAnsi="Arial" w:cs="Arial"/>
          <w:b/>
          <w:i/>
        </w:rPr>
        <w:t xml:space="preserve"> Za izvedbo ukrepov iz vseh treh svežnjev je mogoče dobiti evropska sredstva prek razpisa Instrumenta za povezovanje Evrope (CEF) prek katerega je za podporo projektom v državah članicah, ki prispevajo k varnosti v cestnem prometu, digitalizaciji in večmodalnosti, na voljo 450 milijonov evrov. Razpis bo odprt do 24. oktobra 2018. </w:t>
      </w:r>
      <w:r w:rsidR="00D37B57">
        <w:rPr>
          <w:rFonts w:ascii="Arial" w:hAnsi="Arial" w:cs="Arial"/>
          <w:b/>
          <w:i/>
        </w:rPr>
        <w:t>Člane smo že obvestili, da</w:t>
      </w:r>
      <w:r w:rsidR="00DD6D31" w:rsidRPr="009B7969">
        <w:rPr>
          <w:rFonts w:ascii="Arial" w:hAnsi="Arial" w:cs="Arial"/>
          <w:b/>
          <w:i/>
        </w:rPr>
        <w:t xml:space="preserve"> lahko dodatne informacije in pomoč pri pripravi vlog </w:t>
      </w:r>
      <w:r w:rsidR="00D37B57">
        <w:rPr>
          <w:rFonts w:ascii="Arial" w:hAnsi="Arial" w:cs="Arial"/>
          <w:b/>
          <w:i/>
        </w:rPr>
        <w:t xml:space="preserve">za prijavo na razpis </w:t>
      </w:r>
      <w:r w:rsidR="00DD6D31" w:rsidRPr="009B7969">
        <w:rPr>
          <w:rFonts w:ascii="Arial" w:hAnsi="Arial" w:cs="Arial"/>
          <w:b/>
          <w:i/>
        </w:rPr>
        <w:t>dobijo na SBRA.</w:t>
      </w:r>
      <w:r w:rsidRPr="009B7969">
        <w:rPr>
          <w:rFonts w:ascii="Arial" w:hAnsi="Arial" w:cs="Arial"/>
          <w:b/>
          <w:i/>
        </w:rPr>
        <w:t xml:space="preserve"> </w:t>
      </w:r>
    </w:p>
    <w:p w:rsidR="00673681" w:rsidRPr="009B7969" w:rsidRDefault="00673681" w:rsidP="009B7969">
      <w:pPr>
        <w:rPr>
          <w:rFonts w:ascii="Arial" w:hAnsi="Arial" w:cs="Arial"/>
          <w:sz w:val="20"/>
          <w:szCs w:val="20"/>
        </w:rPr>
      </w:pPr>
      <w:r w:rsidRPr="009B7969">
        <w:rPr>
          <w:rFonts w:ascii="Arial" w:hAnsi="Arial" w:cs="Arial"/>
          <w:sz w:val="20"/>
          <w:szCs w:val="20"/>
        </w:rPr>
        <w:t xml:space="preserve">Za varno mobilnost </w:t>
      </w:r>
      <w:r w:rsidR="00DD6D31" w:rsidRPr="009B7969">
        <w:rPr>
          <w:rFonts w:ascii="Arial" w:hAnsi="Arial" w:cs="Arial"/>
          <w:sz w:val="20"/>
          <w:szCs w:val="20"/>
        </w:rPr>
        <w:t xml:space="preserve">v tretjem svežnju ukrepov Evropska komisija </w:t>
      </w:r>
      <w:r w:rsidRPr="009B7969">
        <w:rPr>
          <w:rFonts w:ascii="Arial" w:hAnsi="Arial" w:cs="Arial"/>
          <w:sz w:val="20"/>
          <w:szCs w:val="20"/>
        </w:rPr>
        <w:t xml:space="preserve">predlaga opremo </w:t>
      </w:r>
      <w:r w:rsidR="007A4337" w:rsidRPr="009B7969">
        <w:rPr>
          <w:rFonts w:ascii="Arial" w:hAnsi="Arial" w:cs="Arial"/>
          <w:sz w:val="20"/>
          <w:szCs w:val="20"/>
        </w:rPr>
        <w:t xml:space="preserve">novih vozil </w:t>
      </w:r>
      <w:r w:rsidRPr="009B7969">
        <w:rPr>
          <w:rFonts w:ascii="Arial" w:hAnsi="Arial" w:cs="Arial"/>
          <w:sz w:val="20"/>
          <w:szCs w:val="20"/>
        </w:rPr>
        <w:t>z naprednimi varnostnimi elementi, kot so napredni sistem za zaviranje v sili in sistem za ohranjanje voznega pasu za avtomobile ali sistemi za zaznavanje pešcev in kolesarjev za tovornjake. Med ukrepi za čisto mobilnost izpostavlja prve standarde nasploh za emisije CO2 za težka vozila. Objavila je še strateški akcijski načrt za razvoj in proizvodnjo baterij v Evropi ter v prihodnost usmerjeno strategijo za povezano in avtomatizirano mobilnost.</w:t>
      </w:r>
    </w:p>
    <w:p w:rsidR="00673681" w:rsidRPr="009B7969" w:rsidRDefault="007A4337" w:rsidP="009B7969">
      <w:pPr>
        <w:rPr>
          <w:rFonts w:ascii="Arial" w:hAnsi="Arial" w:cs="Arial"/>
          <w:sz w:val="20"/>
          <w:szCs w:val="20"/>
        </w:rPr>
      </w:pPr>
      <w:r w:rsidRPr="009B7969">
        <w:rPr>
          <w:rFonts w:ascii="Arial" w:hAnsi="Arial" w:cs="Arial"/>
          <w:sz w:val="20"/>
          <w:szCs w:val="20"/>
        </w:rPr>
        <w:t>Tako Evropska komisija želi zagotoviti nemoten prehod na sistem mobilnosti, ki je varen, čist in povezan ter avtomatiziran. Prepričana je, da bo s predlaganimi ukrepi mogoče vzpostaviti  okolje, ki bo omogočalo podjetjem v EU proizvodnjo najboljših, najčistejših in najbolj konkurenčnih izdelkov.</w:t>
      </w:r>
    </w:p>
    <w:p w:rsidR="007A4337" w:rsidRPr="009B7969" w:rsidRDefault="007A4337" w:rsidP="009B7969">
      <w:pPr>
        <w:rPr>
          <w:rFonts w:ascii="Arial" w:hAnsi="Arial" w:cs="Arial"/>
          <w:sz w:val="20"/>
          <w:szCs w:val="20"/>
        </w:rPr>
      </w:pPr>
      <w:r w:rsidRPr="009B7969">
        <w:rPr>
          <w:rFonts w:ascii="Arial" w:hAnsi="Arial" w:cs="Arial"/>
          <w:sz w:val="20"/>
          <w:szCs w:val="20"/>
        </w:rPr>
        <w:t>Za zagotavljanje varne mobilnosti Evropska komisija državam članicam tudi pomaga, da sistematično prepoznavajo nevarne cestne odseke in bolje usmerjajo svoje naložbe. Na podlagi prvih standardov za emisije CO2 za težka vozila predlaga, da bodo morale biti do leta 2025 povprečne emisije CO2 iz novih tovornih vozil 15 odstotkov nižje kot v letu 2019. Za leto 2030 predlaga okvirni cilj znižanja za najmanj 30 odstotkov v primerjavi z letom 2019.</w:t>
      </w:r>
    </w:p>
    <w:p w:rsidR="007A4337" w:rsidRPr="009B7969" w:rsidRDefault="007A4337" w:rsidP="009B7969">
      <w:pPr>
        <w:rPr>
          <w:rFonts w:ascii="Arial" w:hAnsi="Arial" w:cs="Arial"/>
          <w:sz w:val="20"/>
          <w:szCs w:val="20"/>
        </w:rPr>
      </w:pPr>
      <w:r w:rsidRPr="009B7969">
        <w:rPr>
          <w:rFonts w:ascii="Arial" w:hAnsi="Arial" w:cs="Arial"/>
          <w:sz w:val="20"/>
          <w:szCs w:val="20"/>
        </w:rPr>
        <w:t>Med ukrepi za zmanjšanje emisij Evropska komisija predlaga poenostavitev snovanja bolj aerodinamičnih tovornjakov in izboljšanje sistema za označevanje pnevmatik. Poleg tega predlaga akcijski načrt za baterije. V predlogu strategije za povezano in avtomatizirano mobilnost predlaga vzpostavitev popolnoma digitalnega okolja za izmenjavo informacij v tovornem prometu.</w:t>
      </w:r>
    </w:p>
    <w:p w:rsidR="007A4337" w:rsidRPr="009B7969" w:rsidRDefault="00DD6D31" w:rsidP="009B7969">
      <w:pPr>
        <w:rPr>
          <w:rFonts w:ascii="Arial" w:hAnsi="Arial" w:cs="Arial"/>
          <w:b/>
          <w:sz w:val="20"/>
          <w:szCs w:val="20"/>
        </w:rPr>
      </w:pPr>
      <w:r w:rsidRPr="009B7969">
        <w:rPr>
          <w:rFonts w:ascii="Arial" w:hAnsi="Arial" w:cs="Arial"/>
          <w:b/>
          <w:sz w:val="20"/>
          <w:szCs w:val="20"/>
        </w:rPr>
        <w:t>Koristne informacije:</w:t>
      </w:r>
    </w:p>
    <w:p w:rsidR="00DD6D31" w:rsidRPr="009B7969" w:rsidRDefault="00DD6D31" w:rsidP="009B7969">
      <w:pPr>
        <w:pStyle w:val="ListParagraph"/>
        <w:numPr>
          <w:ilvl w:val="0"/>
          <w:numId w:val="1"/>
        </w:numPr>
        <w:rPr>
          <w:rFonts w:ascii="Arial" w:hAnsi="Arial" w:cs="Arial"/>
          <w:sz w:val="20"/>
          <w:szCs w:val="20"/>
        </w:rPr>
      </w:pPr>
      <w:r w:rsidRPr="009B7969">
        <w:rPr>
          <w:rFonts w:ascii="Arial" w:hAnsi="Arial" w:cs="Arial"/>
          <w:sz w:val="20"/>
          <w:szCs w:val="20"/>
        </w:rPr>
        <w:t>Spletna stran s povezavami na vse tri svežnje:</w:t>
      </w:r>
    </w:p>
    <w:p w:rsidR="00DD6D31" w:rsidRPr="009B7969" w:rsidRDefault="00DC67D8" w:rsidP="009B7969">
      <w:pPr>
        <w:pStyle w:val="ListParagraph"/>
        <w:numPr>
          <w:ilvl w:val="0"/>
          <w:numId w:val="1"/>
        </w:numPr>
        <w:rPr>
          <w:rFonts w:ascii="Arial" w:hAnsi="Arial" w:cs="Arial"/>
          <w:sz w:val="20"/>
          <w:szCs w:val="20"/>
        </w:rPr>
      </w:pPr>
      <w:hyperlink r:id="rId7" w:history="1">
        <w:r w:rsidR="00DD6D31" w:rsidRPr="009B7969">
          <w:rPr>
            <w:rStyle w:val="Hyperlink"/>
            <w:rFonts w:ascii="Arial" w:hAnsi="Arial" w:cs="Arial"/>
            <w:sz w:val="20"/>
            <w:szCs w:val="20"/>
          </w:rPr>
          <w:t>https://ec.europa.eu/transport/modes/road/news/2018-05-17-europe-on-the-move-3_en</w:t>
        </w:r>
      </w:hyperlink>
    </w:p>
    <w:p w:rsidR="00DD6D31" w:rsidRPr="009B7969" w:rsidRDefault="00DD6D31" w:rsidP="009B7969">
      <w:pPr>
        <w:pStyle w:val="ListParagraph"/>
        <w:numPr>
          <w:ilvl w:val="0"/>
          <w:numId w:val="1"/>
        </w:numPr>
        <w:rPr>
          <w:rFonts w:ascii="Arial" w:hAnsi="Arial" w:cs="Arial"/>
          <w:sz w:val="20"/>
          <w:szCs w:val="20"/>
        </w:rPr>
      </w:pPr>
      <w:r w:rsidRPr="009B7969">
        <w:rPr>
          <w:rFonts w:ascii="Arial" w:hAnsi="Arial" w:cs="Arial"/>
          <w:sz w:val="20"/>
          <w:szCs w:val="20"/>
        </w:rPr>
        <w:t>Razpis Instrumenta za povezovanje Evrope:</w:t>
      </w:r>
    </w:p>
    <w:p w:rsidR="00DD6D31" w:rsidRPr="009B7969" w:rsidRDefault="00DC67D8" w:rsidP="009B7969">
      <w:pPr>
        <w:pStyle w:val="ListParagraph"/>
        <w:numPr>
          <w:ilvl w:val="0"/>
          <w:numId w:val="1"/>
        </w:numPr>
        <w:rPr>
          <w:rFonts w:ascii="Arial" w:hAnsi="Arial" w:cs="Arial"/>
          <w:sz w:val="20"/>
          <w:szCs w:val="20"/>
        </w:rPr>
      </w:pPr>
      <w:hyperlink r:id="rId8" w:history="1">
        <w:r w:rsidR="00DD6D31" w:rsidRPr="009B7969">
          <w:rPr>
            <w:rStyle w:val="Hyperlink"/>
            <w:rFonts w:ascii="Arial" w:hAnsi="Arial" w:cs="Arial"/>
            <w:sz w:val="20"/>
            <w:szCs w:val="20"/>
          </w:rPr>
          <w:t>https://ec.europa.eu/inea/en/connecting-europe-facility/cef-transport/apply-funding/2018-cef-transport-call-proposals</w:t>
        </w:r>
      </w:hyperlink>
    </w:p>
    <w:p w:rsidR="00DD6D31" w:rsidRPr="009B7969" w:rsidRDefault="00DD6D31" w:rsidP="009B7969">
      <w:pPr>
        <w:pStyle w:val="ListParagraph"/>
        <w:numPr>
          <w:ilvl w:val="0"/>
          <w:numId w:val="1"/>
        </w:numPr>
        <w:rPr>
          <w:rFonts w:ascii="Arial" w:hAnsi="Arial" w:cs="Arial"/>
          <w:sz w:val="20"/>
          <w:szCs w:val="20"/>
        </w:rPr>
      </w:pPr>
      <w:r w:rsidRPr="009B7969">
        <w:rPr>
          <w:rFonts w:ascii="Arial" w:hAnsi="Arial" w:cs="Arial"/>
          <w:sz w:val="20"/>
          <w:szCs w:val="20"/>
        </w:rPr>
        <w:t>Zavezništvo EU za baterije.</w:t>
      </w:r>
    </w:p>
    <w:p w:rsidR="00DD6D31" w:rsidRPr="009B7969" w:rsidRDefault="00DC67D8" w:rsidP="009B7969">
      <w:pPr>
        <w:pStyle w:val="ListParagraph"/>
        <w:numPr>
          <w:ilvl w:val="0"/>
          <w:numId w:val="1"/>
        </w:numPr>
        <w:rPr>
          <w:rFonts w:ascii="Arial" w:hAnsi="Arial" w:cs="Arial"/>
          <w:sz w:val="20"/>
          <w:szCs w:val="20"/>
        </w:rPr>
      </w:pPr>
      <w:hyperlink r:id="rId9" w:history="1">
        <w:r w:rsidR="00DD6D31" w:rsidRPr="009B7969">
          <w:rPr>
            <w:rStyle w:val="Hyperlink"/>
            <w:rFonts w:ascii="Arial" w:hAnsi="Arial" w:cs="Arial"/>
            <w:sz w:val="20"/>
            <w:szCs w:val="20"/>
          </w:rPr>
          <w:t>https://ec.europa.eu/growth/industry/policy/european-battery-alliance_sl</w:t>
        </w:r>
      </w:hyperlink>
    </w:p>
    <w:p w:rsidR="00DD6D31" w:rsidRPr="009B7969" w:rsidRDefault="00DD6D31" w:rsidP="009B7969">
      <w:pPr>
        <w:pStyle w:val="ListParagraph"/>
        <w:numPr>
          <w:ilvl w:val="0"/>
          <w:numId w:val="1"/>
        </w:numPr>
        <w:rPr>
          <w:rFonts w:ascii="Arial" w:hAnsi="Arial" w:cs="Arial"/>
          <w:sz w:val="20"/>
          <w:szCs w:val="20"/>
        </w:rPr>
      </w:pPr>
      <w:r w:rsidRPr="009B7969">
        <w:rPr>
          <w:rFonts w:ascii="Arial" w:hAnsi="Arial" w:cs="Arial"/>
          <w:sz w:val="20"/>
          <w:szCs w:val="20"/>
        </w:rPr>
        <w:t>Skupno raziskovalno središče: znanstvena podpora za tretji sveženj Evropa v gibanju:</w:t>
      </w:r>
    </w:p>
    <w:p w:rsidR="00DD6D31" w:rsidRPr="009B7969" w:rsidRDefault="00DC67D8" w:rsidP="009B7969">
      <w:pPr>
        <w:pStyle w:val="ListParagraph"/>
        <w:numPr>
          <w:ilvl w:val="0"/>
          <w:numId w:val="1"/>
        </w:numPr>
        <w:rPr>
          <w:rFonts w:ascii="Arial" w:hAnsi="Arial" w:cs="Arial"/>
          <w:sz w:val="20"/>
          <w:szCs w:val="20"/>
        </w:rPr>
      </w:pPr>
      <w:hyperlink r:id="rId10" w:history="1">
        <w:r w:rsidR="00DD6D31" w:rsidRPr="009B7969">
          <w:rPr>
            <w:rStyle w:val="Hyperlink"/>
            <w:rFonts w:ascii="Arial" w:hAnsi="Arial" w:cs="Arial"/>
            <w:sz w:val="20"/>
            <w:szCs w:val="20"/>
          </w:rPr>
          <w:t>https://ec.europa.eu/jrc/en/news/jrc-scientific-contribution-third-mobility-package</w:t>
        </w:r>
      </w:hyperlink>
    </w:p>
    <w:p w:rsidR="00DD6D31" w:rsidRPr="009B7969" w:rsidRDefault="00DD6D31" w:rsidP="009B7969">
      <w:pPr>
        <w:rPr>
          <w:rFonts w:ascii="Arial" w:hAnsi="Arial" w:cs="Arial"/>
          <w:sz w:val="20"/>
          <w:szCs w:val="20"/>
        </w:rPr>
      </w:pPr>
      <w:r w:rsidRPr="009B7969">
        <w:rPr>
          <w:rFonts w:ascii="Arial" w:hAnsi="Arial" w:cs="Arial"/>
          <w:sz w:val="20"/>
          <w:szCs w:val="20"/>
        </w:rPr>
        <w:t>Pripravila:</w:t>
      </w:r>
    </w:p>
    <w:p w:rsidR="00DD6D31" w:rsidRPr="009B7969" w:rsidRDefault="00DD6D31" w:rsidP="009B7969">
      <w:pPr>
        <w:rPr>
          <w:rFonts w:ascii="Arial" w:hAnsi="Arial" w:cs="Arial"/>
          <w:sz w:val="20"/>
          <w:szCs w:val="20"/>
        </w:rPr>
      </w:pPr>
      <w:r w:rsidRPr="009B7969">
        <w:rPr>
          <w:rFonts w:ascii="Arial" w:hAnsi="Arial" w:cs="Arial"/>
          <w:sz w:val="20"/>
          <w:szCs w:val="20"/>
        </w:rPr>
        <w:t>Darja Kocbek</w:t>
      </w:r>
    </w:p>
    <w:sectPr w:rsidR="00DD6D31" w:rsidRPr="009B7969"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B009A"/>
    <w:multiLevelType w:val="hybridMultilevel"/>
    <w:tmpl w:val="91E460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73681"/>
    <w:rsid w:val="000A2911"/>
    <w:rsid w:val="001141E8"/>
    <w:rsid w:val="002468A6"/>
    <w:rsid w:val="0045046B"/>
    <w:rsid w:val="00673681"/>
    <w:rsid w:val="007A4337"/>
    <w:rsid w:val="009B7969"/>
    <w:rsid w:val="00A73D29"/>
    <w:rsid w:val="00B459D4"/>
    <w:rsid w:val="00D37B57"/>
    <w:rsid w:val="00DC67D8"/>
    <w:rsid w:val="00DD6D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0A29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3681"/>
    <w:rPr>
      <w:b/>
      <w:bCs/>
    </w:rPr>
  </w:style>
  <w:style w:type="character" w:styleId="Hyperlink">
    <w:name w:val="Hyperlink"/>
    <w:basedOn w:val="DefaultParagraphFont"/>
    <w:uiPriority w:val="99"/>
    <w:unhideWhenUsed/>
    <w:rsid w:val="00DD6D31"/>
    <w:rPr>
      <w:color w:val="0000FF" w:themeColor="hyperlink"/>
      <w:u w:val="single"/>
    </w:rPr>
  </w:style>
  <w:style w:type="paragraph" w:styleId="ListParagraph">
    <w:name w:val="List Paragraph"/>
    <w:basedOn w:val="Normal"/>
    <w:uiPriority w:val="34"/>
    <w:qFormat/>
    <w:rsid w:val="009B7969"/>
    <w:pPr>
      <w:ind w:left="720"/>
      <w:contextualSpacing/>
    </w:pPr>
  </w:style>
  <w:style w:type="character" w:customStyle="1" w:styleId="Heading2Char">
    <w:name w:val="Heading 2 Char"/>
    <w:basedOn w:val="DefaultParagraphFont"/>
    <w:link w:val="Heading2"/>
    <w:uiPriority w:val="9"/>
    <w:rsid w:val="000A291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A2911"/>
    <w:pPr>
      <w:spacing w:after="0"/>
    </w:pPr>
  </w:style>
  <w:style w:type="paragraph" w:styleId="BalloonText">
    <w:name w:val="Balloon Text"/>
    <w:basedOn w:val="Normal"/>
    <w:link w:val="BalloonTextChar"/>
    <w:uiPriority w:val="99"/>
    <w:semiHidden/>
    <w:unhideWhenUsed/>
    <w:rsid w:val="000A29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9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ea/en/connecting-europe-facility/cef-transport/apply-funding/2018-cef-transport-call-proposals" TargetMode="External"/><Relationship Id="rId3" Type="http://schemas.microsoft.com/office/2007/relationships/stylesWithEffects" Target="stylesWithEffects.xml"/><Relationship Id="rId7" Type="http://schemas.openxmlformats.org/officeDocument/2006/relationships/hyperlink" Target="https://ec.europa.eu/transport/modes/road/news/2018-05-17-europe-on-the-move-3_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c.europa.eu/jrc/en/news/jrc-scientific-contribution-third-mobility-package" TargetMode="External"/><Relationship Id="rId4" Type="http://schemas.openxmlformats.org/officeDocument/2006/relationships/settings" Target="settings.xml"/><Relationship Id="rId9" Type="http://schemas.openxmlformats.org/officeDocument/2006/relationships/hyperlink" Target="https://ec.europa.eu/growth/industry/policy/european-battery-alliance_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514</Words>
  <Characters>2933</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8</cp:revision>
  <dcterms:created xsi:type="dcterms:W3CDTF">2018-05-17T11:39:00Z</dcterms:created>
  <dcterms:modified xsi:type="dcterms:W3CDTF">2018-05-17T14:23:00Z</dcterms:modified>
</cp:coreProperties>
</file>