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F2D" w:rsidRPr="00467345" w:rsidRDefault="00E53F2D" w:rsidP="00E53F2D">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53F2D" w:rsidRPr="00083714" w:rsidRDefault="00E53F2D" w:rsidP="00E53F2D">
      <w:pPr>
        <w:pStyle w:val="Naslov2"/>
        <w:tabs>
          <w:tab w:val="left" w:pos="3120"/>
        </w:tabs>
        <w:spacing w:before="240"/>
        <w:jc w:val="center"/>
        <w:rPr>
          <w:b w:val="0"/>
          <w:bCs w:val="0"/>
          <w:i/>
          <w:iCs/>
          <w:sz w:val="22"/>
        </w:rPr>
      </w:pPr>
      <w:r w:rsidRPr="00083714">
        <w:rPr>
          <w:sz w:val="22"/>
        </w:rPr>
        <w:t>Slovensko gospodarsko in raziskovalno združenje, Bruselj</w:t>
      </w:r>
    </w:p>
    <w:p w:rsidR="00E53F2D" w:rsidRPr="00083714" w:rsidRDefault="00E53F2D" w:rsidP="00E53F2D">
      <w:pPr>
        <w:pBdr>
          <w:bottom w:val="single" w:sz="6" w:space="1" w:color="auto"/>
        </w:pBdr>
        <w:tabs>
          <w:tab w:val="left" w:pos="3120"/>
        </w:tabs>
        <w:spacing w:before="240"/>
        <w:rPr>
          <w:sz w:val="16"/>
          <w:szCs w:val="16"/>
        </w:rPr>
      </w:pPr>
    </w:p>
    <w:p w:rsidR="00E53F2D" w:rsidRDefault="00E53F2D" w:rsidP="00E53F2D">
      <w:pPr>
        <w:tabs>
          <w:tab w:val="left" w:pos="3120"/>
        </w:tabs>
        <w:spacing w:before="240"/>
        <w:rPr>
          <w:b/>
        </w:rPr>
      </w:pPr>
      <w:r w:rsidRPr="00083714">
        <w:rPr>
          <w:b/>
        </w:rPr>
        <w:tab/>
      </w:r>
      <w:r>
        <w:rPr>
          <w:b/>
        </w:rPr>
        <w:t xml:space="preserve">Občasna informacija članom 82 </w:t>
      </w:r>
      <w:r w:rsidRPr="00083714">
        <w:rPr>
          <w:b/>
        </w:rPr>
        <w:t>– 20</w:t>
      </w:r>
      <w:r>
        <w:rPr>
          <w:b/>
        </w:rPr>
        <w:t>22</w:t>
      </w:r>
    </w:p>
    <w:p w:rsidR="00E53F2D" w:rsidRPr="0002310E" w:rsidRDefault="00E53F2D" w:rsidP="00E53F2D">
      <w:pPr>
        <w:tabs>
          <w:tab w:val="left" w:pos="3120"/>
        </w:tabs>
        <w:spacing w:before="240"/>
        <w:jc w:val="center"/>
        <w:rPr>
          <w:b/>
        </w:rPr>
      </w:pPr>
      <w:r>
        <w:rPr>
          <w:b/>
        </w:rPr>
        <w:t xml:space="preserve">16. maj </w:t>
      </w:r>
      <w:r w:rsidRPr="00083714">
        <w:rPr>
          <w:b/>
        </w:rPr>
        <w:t xml:space="preserve"> 20</w:t>
      </w:r>
      <w:r>
        <w:rPr>
          <w:b/>
        </w:rPr>
        <w:t>22</w:t>
      </w:r>
    </w:p>
    <w:p w:rsidR="00E53F2D" w:rsidRDefault="00E53F2D" w:rsidP="00E53F2D">
      <w:pPr>
        <w:jc w:val="center"/>
        <w:rPr>
          <w:rFonts w:ascii="Arial" w:hAnsi="Arial" w:cs="Arial"/>
          <w:b/>
          <w:i/>
        </w:rPr>
      </w:pPr>
      <w:r>
        <w:rPr>
          <w:b/>
          <w:color w:val="993300"/>
          <w:sz w:val="32"/>
          <w:szCs w:val="32"/>
        </w:rPr>
        <w:t>Evropska komisija je sprejela spremembo delovnega programa Obzorje Evropa za obdobje 2021-2022</w:t>
      </w:r>
    </w:p>
    <w:p w:rsidR="00B67D1C" w:rsidRPr="007F7679" w:rsidRDefault="00C77922" w:rsidP="007F7679">
      <w:pPr>
        <w:jc w:val="both"/>
        <w:rPr>
          <w:rFonts w:ascii="Arial" w:hAnsi="Arial" w:cs="Arial"/>
          <w:b/>
          <w:i/>
        </w:rPr>
      </w:pPr>
      <w:r w:rsidRPr="007F7679">
        <w:rPr>
          <w:rFonts w:ascii="Arial" w:hAnsi="Arial" w:cs="Arial"/>
          <w:b/>
          <w:i/>
        </w:rPr>
        <w:t xml:space="preserve">Evropska komisija je sprejela spremembo delovnega programa Obzorje Evropa za obdobje 2021–2022 in proračun povečala za skoraj 562 milijonov evrov. Proračun programa za leti 2021 in 2022 zdaj skupaj znaša skoraj 16 milijard evrov. </w:t>
      </w:r>
      <w:r w:rsidR="00D82EE6" w:rsidRPr="007F7679">
        <w:rPr>
          <w:rFonts w:ascii="Arial" w:hAnsi="Arial" w:cs="Arial"/>
          <w:b/>
          <w:i/>
        </w:rPr>
        <w:t xml:space="preserve">Prvi sklop razpisov je bil objavljen 12. maja, drugi bo objavljen 24. maja. </w:t>
      </w:r>
      <w:r w:rsidR="00426148" w:rsidRPr="007F7679">
        <w:rPr>
          <w:rFonts w:ascii="Arial" w:hAnsi="Arial" w:cs="Arial"/>
          <w:b/>
          <w:i/>
        </w:rPr>
        <w:t>Jutri, v torek, 17. maja, in v sredo, 18. maja, jih bodo predstavniki Evropske komisije predstavili na virtualnih informativnih dnevih. Prijava za spremljanje ni potrebna. Č</w:t>
      </w:r>
      <w:r w:rsidRPr="007F7679">
        <w:rPr>
          <w:rFonts w:ascii="Arial" w:hAnsi="Arial" w:cs="Arial"/>
          <w:b/>
          <w:i/>
        </w:rPr>
        <w:t>lani lahko dobijo več informacij na SBRA.</w:t>
      </w:r>
    </w:p>
    <w:p w:rsidR="0063626E" w:rsidRPr="007F7679" w:rsidRDefault="0063626E" w:rsidP="007F7679">
      <w:pPr>
        <w:jc w:val="both"/>
        <w:rPr>
          <w:rFonts w:ascii="Arial" w:hAnsi="Arial" w:cs="Arial"/>
          <w:b/>
          <w:sz w:val="20"/>
          <w:szCs w:val="20"/>
        </w:rPr>
      </w:pPr>
      <w:r w:rsidRPr="007F7679">
        <w:rPr>
          <w:rFonts w:ascii="Arial" w:hAnsi="Arial" w:cs="Arial"/>
          <w:b/>
          <w:sz w:val="20"/>
          <w:szCs w:val="20"/>
        </w:rPr>
        <w:t>Tabela 1: Razdelitev proračuna za misije EU za leto 2022</w:t>
      </w:r>
    </w:p>
    <w:tbl>
      <w:tblPr>
        <w:tblStyle w:val="Tabela-mrea"/>
        <w:tblW w:w="0" w:type="auto"/>
        <w:tblLook w:val="04A0"/>
      </w:tblPr>
      <w:tblGrid>
        <w:gridCol w:w="2303"/>
        <w:gridCol w:w="2303"/>
        <w:gridCol w:w="4433"/>
      </w:tblGrid>
      <w:tr w:rsidR="00D82EE6" w:rsidRPr="007F7679" w:rsidTr="00E53F2D">
        <w:tc>
          <w:tcPr>
            <w:tcW w:w="2303" w:type="dxa"/>
          </w:tcPr>
          <w:p w:rsidR="00D82EE6" w:rsidRPr="007F7679" w:rsidRDefault="00D82EE6" w:rsidP="007F7679">
            <w:pPr>
              <w:jc w:val="both"/>
              <w:rPr>
                <w:rFonts w:ascii="Arial" w:hAnsi="Arial" w:cs="Arial"/>
                <w:b/>
                <w:sz w:val="20"/>
                <w:szCs w:val="20"/>
              </w:rPr>
            </w:pPr>
            <w:r w:rsidRPr="007F7679">
              <w:rPr>
                <w:rFonts w:ascii="Arial" w:hAnsi="Arial" w:cs="Arial"/>
                <w:b/>
                <w:sz w:val="20"/>
                <w:szCs w:val="20"/>
              </w:rPr>
              <w:t>Misija</w:t>
            </w:r>
          </w:p>
        </w:tc>
        <w:tc>
          <w:tcPr>
            <w:tcW w:w="2303" w:type="dxa"/>
          </w:tcPr>
          <w:p w:rsidR="00D82EE6" w:rsidRPr="007F7679" w:rsidRDefault="00D82EE6" w:rsidP="007F7679">
            <w:pPr>
              <w:jc w:val="both"/>
              <w:rPr>
                <w:rFonts w:ascii="Arial" w:hAnsi="Arial" w:cs="Arial"/>
                <w:b/>
                <w:sz w:val="20"/>
                <w:szCs w:val="20"/>
              </w:rPr>
            </w:pPr>
            <w:r w:rsidRPr="007F7679">
              <w:rPr>
                <w:rFonts w:ascii="Arial" w:hAnsi="Arial" w:cs="Arial"/>
                <w:b/>
                <w:sz w:val="20"/>
                <w:szCs w:val="20"/>
              </w:rPr>
              <w:t>Znesek</w:t>
            </w:r>
          </w:p>
        </w:tc>
        <w:tc>
          <w:tcPr>
            <w:tcW w:w="4433" w:type="dxa"/>
          </w:tcPr>
          <w:p w:rsidR="00D82EE6" w:rsidRPr="007F7679" w:rsidRDefault="00D82EE6" w:rsidP="007F7679">
            <w:pPr>
              <w:jc w:val="both"/>
              <w:rPr>
                <w:rFonts w:ascii="Arial" w:hAnsi="Arial" w:cs="Arial"/>
                <w:b/>
                <w:sz w:val="20"/>
                <w:szCs w:val="20"/>
              </w:rPr>
            </w:pPr>
            <w:r w:rsidRPr="007F7679">
              <w:rPr>
                <w:rFonts w:ascii="Arial" w:hAnsi="Arial" w:cs="Arial"/>
                <w:b/>
                <w:sz w:val="20"/>
                <w:szCs w:val="20"/>
              </w:rPr>
              <w:t>Ukrepi</w:t>
            </w:r>
          </w:p>
        </w:tc>
      </w:tr>
      <w:tr w:rsidR="00D82EE6" w:rsidRPr="007F7679" w:rsidTr="00E53F2D">
        <w:tc>
          <w:tcPr>
            <w:tcW w:w="2303" w:type="dxa"/>
          </w:tcPr>
          <w:p w:rsidR="00D82EE6" w:rsidRPr="007F7679" w:rsidRDefault="00D82EE6" w:rsidP="007F7679">
            <w:pPr>
              <w:jc w:val="both"/>
              <w:rPr>
                <w:rFonts w:ascii="Arial" w:hAnsi="Arial" w:cs="Arial"/>
                <w:sz w:val="20"/>
                <w:szCs w:val="20"/>
              </w:rPr>
            </w:pPr>
            <w:r w:rsidRPr="007F7679">
              <w:rPr>
                <w:rFonts w:ascii="Arial" w:hAnsi="Arial" w:cs="Arial"/>
                <w:sz w:val="20"/>
                <w:szCs w:val="20"/>
              </w:rPr>
              <w:t>Misija za prilagajanje podnebnim spremembam</w:t>
            </w:r>
          </w:p>
        </w:tc>
        <w:tc>
          <w:tcPr>
            <w:tcW w:w="2303" w:type="dxa"/>
          </w:tcPr>
          <w:p w:rsidR="00D82EE6" w:rsidRPr="007F7679" w:rsidRDefault="00D82EE6" w:rsidP="007F7679">
            <w:pPr>
              <w:jc w:val="both"/>
              <w:rPr>
                <w:rFonts w:ascii="Arial" w:hAnsi="Arial" w:cs="Arial"/>
                <w:sz w:val="20"/>
                <w:szCs w:val="20"/>
              </w:rPr>
            </w:pPr>
            <w:r w:rsidRPr="007F7679">
              <w:rPr>
                <w:rFonts w:ascii="Arial" w:hAnsi="Arial" w:cs="Arial"/>
                <w:sz w:val="20"/>
                <w:szCs w:val="20"/>
              </w:rPr>
              <w:t>126,2 milijona evrov</w:t>
            </w:r>
          </w:p>
        </w:tc>
        <w:tc>
          <w:tcPr>
            <w:tcW w:w="4433" w:type="dxa"/>
          </w:tcPr>
          <w:p w:rsidR="00D82EE6" w:rsidRPr="007F7679" w:rsidRDefault="00D82EE6" w:rsidP="007F7679">
            <w:pPr>
              <w:jc w:val="both"/>
              <w:rPr>
                <w:rFonts w:ascii="Arial" w:hAnsi="Arial" w:cs="Arial"/>
                <w:sz w:val="20"/>
                <w:szCs w:val="20"/>
              </w:rPr>
            </w:pPr>
            <w:r w:rsidRPr="007F7679">
              <w:rPr>
                <w:rFonts w:ascii="Arial" w:hAnsi="Arial" w:cs="Arial"/>
                <w:sz w:val="20"/>
                <w:szCs w:val="20"/>
              </w:rPr>
              <w:t>Leta 2022 bo misija za prilagajanje podnebnim spremembam podpirala razvoj in preskušanje rešitev za ključna področja, na katera vplivajo podnebne spremembe.</w:t>
            </w:r>
          </w:p>
        </w:tc>
      </w:tr>
      <w:tr w:rsidR="00D82EE6" w:rsidRPr="007F7679" w:rsidTr="00E53F2D">
        <w:tc>
          <w:tcPr>
            <w:tcW w:w="2303" w:type="dxa"/>
          </w:tcPr>
          <w:p w:rsidR="00D82EE6" w:rsidRPr="007F7679" w:rsidRDefault="00D82EE6" w:rsidP="007F7679">
            <w:pPr>
              <w:jc w:val="both"/>
              <w:rPr>
                <w:rFonts w:ascii="Arial" w:hAnsi="Arial" w:cs="Arial"/>
                <w:sz w:val="20"/>
                <w:szCs w:val="20"/>
              </w:rPr>
            </w:pPr>
            <w:r w:rsidRPr="007F7679">
              <w:rPr>
                <w:rFonts w:ascii="Arial" w:hAnsi="Arial" w:cs="Arial"/>
                <w:sz w:val="20"/>
                <w:szCs w:val="20"/>
              </w:rPr>
              <w:t>Misija za boj proti raku</w:t>
            </w:r>
          </w:p>
        </w:tc>
        <w:tc>
          <w:tcPr>
            <w:tcW w:w="2303" w:type="dxa"/>
          </w:tcPr>
          <w:p w:rsidR="00D82EE6" w:rsidRPr="007F7679" w:rsidRDefault="00D82EE6" w:rsidP="007F7679">
            <w:pPr>
              <w:jc w:val="both"/>
              <w:rPr>
                <w:rFonts w:ascii="Arial" w:hAnsi="Arial" w:cs="Arial"/>
                <w:sz w:val="20"/>
                <w:szCs w:val="20"/>
              </w:rPr>
            </w:pPr>
            <w:r w:rsidRPr="007F7679">
              <w:rPr>
                <w:rFonts w:ascii="Arial" w:hAnsi="Arial" w:cs="Arial"/>
                <w:sz w:val="20"/>
                <w:szCs w:val="20"/>
              </w:rPr>
              <w:t>129,56 milijona evrov</w:t>
            </w:r>
          </w:p>
        </w:tc>
        <w:tc>
          <w:tcPr>
            <w:tcW w:w="4433" w:type="dxa"/>
          </w:tcPr>
          <w:p w:rsidR="00D82EE6" w:rsidRPr="007F7679" w:rsidRDefault="00D82EE6" w:rsidP="007F7679">
            <w:pPr>
              <w:jc w:val="both"/>
              <w:rPr>
                <w:rFonts w:ascii="Arial" w:hAnsi="Arial" w:cs="Arial"/>
                <w:sz w:val="20"/>
                <w:szCs w:val="20"/>
              </w:rPr>
            </w:pPr>
            <w:r w:rsidRPr="007F7679">
              <w:rPr>
                <w:rFonts w:ascii="Arial" w:hAnsi="Arial" w:cs="Arial"/>
                <w:sz w:val="20"/>
                <w:szCs w:val="20"/>
              </w:rPr>
              <w:t>Izboljšanje in nadgradnja primarnega preprečevanja raka, krepitev raziskovalnih zmogljivosti celovitih infrastruktur za boj proti raku in vzpostavitev kliničnih preskušanj za optimizacijo zdravljenja bolnikov s težko ozdravljivim rakom.</w:t>
            </w:r>
          </w:p>
        </w:tc>
      </w:tr>
      <w:tr w:rsidR="00D82EE6" w:rsidRPr="007F7679" w:rsidTr="00E53F2D">
        <w:tc>
          <w:tcPr>
            <w:tcW w:w="2303" w:type="dxa"/>
          </w:tcPr>
          <w:p w:rsidR="00D82EE6" w:rsidRPr="007F7679" w:rsidRDefault="00D82EE6" w:rsidP="007F7679">
            <w:pPr>
              <w:jc w:val="both"/>
              <w:rPr>
                <w:rFonts w:ascii="Arial" w:hAnsi="Arial" w:cs="Arial"/>
                <w:sz w:val="20"/>
                <w:szCs w:val="20"/>
              </w:rPr>
            </w:pPr>
            <w:r w:rsidRPr="007F7679">
              <w:rPr>
                <w:rFonts w:ascii="Arial" w:hAnsi="Arial" w:cs="Arial"/>
                <w:sz w:val="20"/>
                <w:szCs w:val="20"/>
              </w:rPr>
              <w:t>Misija za obnovo oceanov in voda</w:t>
            </w:r>
          </w:p>
        </w:tc>
        <w:tc>
          <w:tcPr>
            <w:tcW w:w="2303" w:type="dxa"/>
          </w:tcPr>
          <w:p w:rsidR="00D82EE6" w:rsidRPr="007F7679" w:rsidRDefault="00D82EE6" w:rsidP="007F7679">
            <w:pPr>
              <w:jc w:val="both"/>
              <w:rPr>
                <w:rFonts w:ascii="Arial" w:hAnsi="Arial" w:cs="Arial"/>
                <w:sz w:val="20"/>
                <w:szCs w:val="20"/>
              </w:rPr>
            </w:pPr>
            <w:r w:rsidRPr="007F7679">
              <w:rPr>
                <w:rFonts w:ascii="Arial" w:hAnsi="Arial" w:cs="Arial"/>
                <w:sz w:val="20"/>
                <w:szCs w:val="20"/>
              </w:rPr>
              <w:t>117,9 milijona evrov</w:t>
            </w:r>
          </w:p>
        </w:tc>
        <w:tc>
          <w:tcPr>
            <w:tcW w:w="4433" w:type="dxa"/>
          </w:tcPr>
          <w:p w:rsidR="00D82EE6" w:rsidRPr="007F7679" w:rsidRDefault="00D82EE6" w:rsidP="007F7679">
            <w:pPr>
              <w:jc w:val="both"/>
              <w:rPr>
                <w:rFonts w:ascii="Arial" w:hAnsi="Arial" w:cs="Arial"/>
                <w:sz w:val="20"/>
                <w:szCs w:val="20"/>
              </w:rPr>
            </w:pPr>
            <w:r w:rsidRPr="007F7679">
              <w:rPr>
                <w:rFonts w:ascii="Arial" w:hAnsi="Arial" w:cs="Arial"/>
                <w:sz w:val="20"/>
                <w:szCs w:val="20"/>
              </w:rPr>
              <w:t xml:space="preserve">Prispevek k skupnemu razpisu z misijo za prilagajanje podnebnim spremembam za zaščito in obnovo morskih in sladkovodnih ekosistemov in biotske raznovrstnosti, preprečevanje in odpravo onesnaževanja v oceanih, morjih in vodah ter vzpostavitev trajnostnega, </w:t>
            </w:r>
            <w:proofErr w:type="spellStart"/>
            <w:r w:rsidRPr="007F7679">
              <w:rPr>
                <w:rFonts w:ascii="Arial" w:hAnsi="Arial" w:cs="Arial"/>
                <w:sz w:val="20"/>
                <w:szCs w:val="20"/>
              </w:rPr>
              <w:t>ogljično</w:t>
            </w:r>
            <w:proofErr w:type="spellEnd"/>
            <w:r w:rsidRPr="007F7679">
              <w:rPr>
                <w:rFonts w:ascii="Arial" w:hAnsi="Arial" w:cs="Arial"/>
                <w:sz w:val="20"/>
                <w:szCs w:val="20"/>
              </w:rPr>
              <w:t xml:space="preserve"> nevtralnega in krožnega modrega gospodarstva.</w:t>
            </w:r>
          </w:p>
        </w:tc>
      </w:tr>
      <w:tr w:rsidR="00D82EE6" w:rsidRPr="007F7679" w:rsidTr="00E53F2D">
        <w:tc>
          <w:tcPr>
            <w:tcW w:w="2303" w:type="dxa"/>
          </w:tcPr>
          <w:p w:rsidR="00D82EE6" w:rsidRPr="007F7679" w:rsidRDefault="00D82EE6" w:rsidP="007F7679">
            <w:pPr>
              <w:jc w:val="both"/>
              <w:rPr>
                <w:rFonts w:ascii="Arial" w:hAnsi="Arial" w:cs="Arial"/>
                <w:sz w:val="20"/>
                <w:szCs w:val="20"/>
              </w:rPr>
            </w:pPr>
            <w:r w:rsidRPr="007F7679">
              <w:rPr>
                <w:rFonts w:ascii="Arial" w:hAnsi="Arial" w:cs="Arial"/>
                <w:sz w:val="20"/>
                <w:szCs w:val="20"/>
              </w:rPr>
              <w:t>Misija za evropski dogovor o tleh</w:t>
            </w:r>
          </w:p>
        </w:tc>
        <w:tc>
          <w:tcPr>
            <w:tcW w:w="2303" w:type="dxa"/>
          </w:tcPr>
          <w:p w:rsidR="00D82EE6" w:rsidRPr="007F7679" w:rsidRDefault="00D82EE6" w:rsidP="007F7679">
            <w:pPr>
              <w:jc w:val="both"/>
              <w:rPr>
                <w:rFonts w:ascii="Arial" w:hAnsi="Arial" w:cs="Arial"/>
                <w:sz w:val="20"/>
                <w:szCs w:val="20"/>
              </w:rPr>
            </w:pPr>
            <w:r w:rsidRPr="007F7679">
              <w:rPr>
                <w:rFonts w:ascii="Arial" w:hAnsi="Arial" w:cs="Arial"/>
                <w:sz w:val="20"/>
                <w:szCs w:val="20"/>
              </w:rPr>
              <w:t>95 milijonov evrov</w:t>
            </w:r>
          </w:p>
        </w:tc>
        <w:tc>
          <w:tcPr>
            <w:tcW w:w="4433" w:type="dxa"/>
          </w:tcPr>
          <w:p w:rsidR="00D82EE6" w:rsidRPr="007F7679" w:rsidRDefault="00D82EE6" w:rsidP="007F7679">
            <w:pPr>
              <w:jc w:val="both"/>
              <w:rPr>
                <w:rFonts w:ascii="Arial" w:hAnsi="Arial" w:cs="Arial"/>
                <w:sz w:val="20"/>
                <w:szCs w:val="20"/>
              </w:rPr>
            </w:pPr>
            <w:r w:rsidRPr="007F7679">
              <w:rPr>
                <w:rFonts w:ascii="Arial" w:hAnsi="Arial" w:cs="Arial"/>
                <w:sz w:val="20"/>
                <w:szCs w:val="20"/>
              </w:rPr>
              <w:t xml:space="preserve">Vzpostavitev nove shrambe znanja, preučitev vloge biotske raznovrstnosti tal v </w:t>
            </w:r>
            <w:proofErr w:type="spellStart"/>
            <w:r w:rsidRPr="007F7679">
              <w:rPr>
                <w:rFonts w:ascii="Arial" w:hAnsi="Arial" w:cs="Arial"/>
                <w:sz w:val="20"/>
                <w:szCs w:val="20"/>
              </w:rPr>
              <w:t>ekosistemskih</w:t>
            </w:r>
            <w:proofErr w:type="spellEnd"/>
            <w:r w:rsidRPr="007F7679">
              <w:rPr>
                <w:rFonts w:ascii="Arial" w:hAnsi="Arial" w:cs="Arial"/>
                <w:sz w:val="20"/>
                <w:szCs w:val="20"/>
              </w:rPr>
              <w:t xml:space="preserve"> storitvah ter opredelitev strategij za dekontaminacijo in ponovno uporabo zemljišč.</w:t>
            </w:r>
          </w:p>
        </w:tc>
      </w:tr>
    </w:tbl>
    <w:p w:rsidR="0063626E" w:rsidRPr="007F7679" w:rsidRDefault="00D82EE6" w:rsidP="007F7679">
      <w:pPr>
        <w:jc w:val="both"/>
        <w:rPr>
          <w:rFonts w:ascii="Arial" w:hAnsi="Arial" w:cs="Arial"/>
          <w:sz w:val="20"/>
          <w:szCs w:val="20"/>
        </w:rPr>
      </w:pPr>
      <w:r w:rsidRPr="007F7679">
        <w:rPr>
          <w:rFonts w:ascii="Arial" w:hAnsi="Arial" w:cs="Arial"/>
          <w:sz w:val="20"/>
          <w:szCs w:val="20"/>
        </w:rPr>
        <w:t>Vir: Evropska komisija</w:t>
      </w:r>
    </w:p>
    <w:p w:rsidR="00D82EE6" w:rsidRPr="007F7679" w:rsidRDefault="00D82EE6" w:rsidP="007F7679">
      <w:pPr>
        <w:jc w:val="both"/>
        <w:rPr>
          <w:rFonts w:ascii="Arial" w:hAnsi="Arial" w:cs="Arial"/>
          <w:sz w:val="20"/>
          <w:szCs w:val="20"/>
        </w:rPr>
      </w:pPr>
      <w:r w:rsidRPr="007F7679">
        <w:rPr>
          <w:rFonts w:ascii="Arial" w:hAnsi="Arial" w:cs="Arial"/>
          <w:sz w:val="20"/>
          <w:szCs w:val="20"/>
        </w:rPr>
        <w:lastRenderedPageBreak/>
        <w:t>Ukrepi za podporo misiji za podnebno nevtralna in pametna mesta s proračunom 119,37 milijona evrov za leto 2022 so bili že vključeni v spremembo delovnega programa, sprejeto decembra 2021. S to spremembo se proračun za platformo misije za podnebno nevtralna in pametna mesta povečuje za skoraj 6,25 milijona evrov. Ta sredstva bodo namenjena za dodatno podporo mestom, izbranim za pridružitev misiji.</w:t>
      </w:r>
    </w:p>
    <w:p w:rsidR="00D82EE6" w:rsidRPr="007F7679" w:rsidRDefault="00D82EE6" w:rsidP="007F7679">
      <w:pPr>
        <w:jc w:val="both"/>
        <w:rPr>
          <w:rFonts w:ascii="Arial" w:hAnsi="Arial" w:cs="Arial"/>
          <w:sz w:val="20"/>
          <w:szCs w:val="20"/>
        </w:rPr>
      </w:pPr>
      <w:r w:rsidRPr="007F7679">
        <w:rPr>
          <w:rFonts w:ascii="Arial" w:hAnsi="Arial" w:cs="Arial"/>
          <w:sz w:val="20"/>
          <w:szCs w:val="20"/>
        </w:rPr>
        <w:t>Kot odziv na rusko invazijo na Ukrajino so v spremembi vključeni tudi ukrepi za podporo raziskovalcem, ki so bili prej dejavni v Ukrajini.</w:t>
      </w:r>
    </w:p>
    <w:p w:rsidR="00D82EE6" w:rsidRPr="00E53F2D" w:rsidRDefault="00D82EE6" w:rsidP="007F7679">
      <w:pPr>
        <w:jc w:val="both"/>
        <w:rPr>
          <w:rFonts w:ascii="Arial" w:hAnsi="Arial" w:cs="Arial"/>
          <w:b/>
          <w:sz w:val="20"/>
          <w:szCs w:val="20"/>
        </w:rPr>
      </w:pPr>
      <w:r w:rsidRPr="00E53F2D">
        <w:rPr>
          <w:rFonts w:ascii="Arial" w:hAnsi="Arial" w:cs="Arial"/>
          <w:b/>
          <w:sz w:val="20"/>
          <w:szCs w:val="20"/>
        </w:rPr>
        <w:t>Koristne informacije:</w:t>
      </w:r>
    </w:p>
    <w:p w:rsidR="00D82EE6" w:rsidRPr="00E53F2D" w:rsidRDefault="00426148" w:rsidP="00E53F2D">
      <w:pPr>
        <w:pStyle w:val="Odstavekseznama"/>
        <w:numPr>
          <w:ilvl w:val="0"/>
          <w:numId w:val="1"/>
        </w:numPr>
        <w:jc w:val="both"/>
        <w:rPr>
          <w:rFonts w:ascii="Arial" w:hAnsi="Arial" w:cs="Arial"/>
          <w:sz w:val="20"/>
          <w:szCs w:val="20"/>
        </w:rPr>
      </w:pPr>
      <w:r w:rsidRPr="00E53F2D">
        <w:rPr>
          <w:rFonts w:ascii="Arial" w:hAnsi="Arial" w:cs="Arial"/>
          <w:sz w:val="20"/>
          <w:szCs w:val="20"/>
        </w:rPr>
        <w:t>Spletno mesto o misijah EU:</w:t>
      </w:r>
    </w:p>
    <w:p w:rsidR="00426148" w:rsidRPr="00E53F2D" w:rsidRDefault="00426148" w:rsidP="00E53F2D">
      <w:pPr>
        <w:pStyle w:val="Odstavekseznama"/>
        <w:numPr>
          <w:ilvl w:val="0"/>
          <w:numId w:val="1"/>
        </w:numPr>
        <w:jc w:val="both"/>
        <w:rPr>
          <w:rFonts w:ascii="Arial" w:hAnsi="Arial" w:cs="Arial"/>
          <w:sz w:val="20"/>
          <w:szCs w:val="20"/>
        </w:rPr>
      </w:pPr>
      <w:hyperlink r:id="rId6" w:history="1">
        <w:r w:rsidRPr="00E53F2D">
          <w:rPr>
            <w:rStyle w:val="Hiperpovezava"/>
            <w:rFonts w:ascii="Arial" w:hAnsi="Arial" w:cs="Arial"/>
            <w:sz w:val="20"/>
            <w:szCs w:val="20"/>
          </w:rPr>
          <w:t>https://ec.europa.eu/info/research-and-innovation/funding/funding-opportunities/funding-programmes-and-open-calls/horizon-europe/eu-missions-horizon-europe_sl</w:t>
        </w:r>
      </w:hyperlink>
    </w:p>
    <w:p w:rsidR="00426148" w:rsidRPr="00E53F2D" w:rsidRDefault="00426148" w:rsidP="00E53F2D">
      <w:pPr>
        <w:pStyle w:val="Odstavekseznama"/>
        <w:numPr>
          <w:ilvl w:val="0"/>
          <w:numId w:val="1"/>
        </w:numPr>
        <w:jc w:val="both"/>
        <w:rPr>
          <w:rFonts w:ascii="Arial" w:hAnsi="Arial" w:cs="Arial"/>
          <w:sz w:val="20"/>
          <w:szCs w:val="20"/>
        </w:rPr>
      </w:pPr>
      <w:r w:rsidRPr="00E53F2D">
        <w:rPr>
          <w:rFonts w:ascii="Arial" w:hAnsi="Arial" w:cs="Arial"/>
          <w:sz w:val="20"/>
          <w:szCs w:val="20"/>
        </w:rPr>
        <w:t>Spletno mesto programa Obzorje Evropa:</w:t>
      </w:r>
    </w:p>
    <w:p w:rsidR="00426148" w:rsidRPr="00E53F2D" w:rsidRDefault="00426148" w:rsidP="00E53F2D">
      <w:pPr>
        <w:pStyle w:val="Odstavekseznama"/>
        <w:numPr>
          <w:ilvl w:val="0"/>
          <w:numId w:val="1"/>
        </w:numPr>
        <w:jc w:val="both"/>
        <w:rPr>
          <w:rFonts w:ascii="Arial" w:hAnsi="Arial" w:cs="Arial"/>
          <w:sz w:val="20"/>
          <w:szCs w:val="20"/>
        </w:rPr>
      </w:pPr>
      <w:hyperlink r:id="rId7" w:history="1">
        <w:r w:rsidRPr="00E53F2D">
          <w:rPr>
            <w:rStyle w:val="Hiperpovezava"/>
            <w:rFonts w:ascii="Arial" w:hAnsi="Arial" w:cs="Arial"/>
            <w:sz w:val="20"/>
            <w:szCs w:val="20"/>
          </w:rPr>
          <w:t>https://ec.europa.eu/info/research-and-innovation/funding/funding-opportunities/funding-programmes-and-open-calls/horizon-europe_sl</w:t>
        </w:r>
      </w:hyperlink>
    </w:p>
    <w:p w:rsidR="00426148" w:rsidRPr="00E53F2D" w:rsidRDefault="00426148" w:rsidP="00E53F2D">
      <w:pPr>
        <w:pStyle w:val="Odstavekseznama"/>
        <w:numPr>
          <w:ilvl w:val="0"/>
          <w:numId w:val="1"/>
        </w:numPr>
        <w:jc w:val="both"/>
        <w:rPr>
          <w:rFonts w:ascii="Arial" w:hAnsi="Arial" w:cs="Arial"/>
          <w:sz w:val="20"/>
          <w:szCs w:val="20"/>
        </w:rPr>
      </w:pPr>
      <w:r w:rsidRPr="00E53F2D">
        <w:rPr>
          <w:rFonts w:ascii="Arial" w:hAnsi="Arial" w:cs="Arial"/>
          <w:sz w:val="20"/>
          <w:szCs w:val="20"/>
        </w:rPr>
        <w:t xml:space="preserve">Spletna stran za spremljanje informativnih </w:t>
      </w:r>
      <w:proofErr w:type="spellStart"/>
      <w:r w:rsidRPr="00E53F2D">
        <w:rPr>
          <w:rFonts w:ascii="Arial" w:hAnsi="Arial" w:cs="Arial"/>
          <w:sz w:val="20"/>
          <w:szCs w:val="20"/>
        </w:rPr>
        <w:t>dnevov</w:t>
      </w:r>
      <w:proofErr w:type="spellEnd"/>
      <w:r w:rsidRPr="00E53F2D">
        <w:rPr>
          <w:rFonts w:ascii="Arial" w:hAnsi="Arial" w:cs="Arial"/>
          <w:sz w:val="20"/>
          <w:szCs w:val="20"/>
        </w:rPr>
        <w:t>:</w:t>
      </w:r>
    </w:p>
    <w:p w:rsidR="00426148" w:rsidRPr="00E53F2D" w:rsidRDefault="00426148" w:rsidP="00E53F2D">
      <w:pPr>
        <w:pStyle w:val="Odstavekseznama"/>
        <w:numPr>
          <w:ilvl w:val="0"/>
          <w:numId w:val="1"/>
        </w:numPr>
        <w:jc w:val="both"/>
        <w:rPr>
          <w:rFonts w:ascii="Arial" w:hAnsi="Arial" w:cs="Arial"/>
          <w:sz w:val="20"/>
          <w:szCs w:val="20"/>
        </w:rPr>
      </w:pPr>
      <w:hyperlink r:id="rId8" w:history="1">
        <w:r w:rsidRPr="00E53F2D">
          <w:rPr>
            <w:rStyle w:val="Hiperpovezava"/>
            <w:rFonts w:ascii="Arial" w:hAnsi="Arial" w:cs="Arial"/>
            <w:sz w:val="20"/>
            <w:szCs w:val="20"/>
          </w:rPr>
          <w:t>https://ec.europa.eu/info/research-and-innovation/events/upcoming-events/horizon-europe-info-days/eu-missions_sl</w:t>
        </w:r>
      </w:hyperlink>
    </w:p>
    <w:p w:rsidR="00426148" w:rsidRPr="00E53F2D" w:rsidRDefault="00526E3A" w:rsidP="00E53F2D">
      <w:pPr>
        <w:pStyle w:val="Odstavekseznama"/>
        <w:numPr>
          <w:ilvl w:val="0"/>
          <w:numId w:val="1"/>
        </w:numPr>
        <w:jc w:val="both"/>
        <w:rPr>
          <w:rFonts w:ascii="Arial" w:hAnsi="Arial" w:cs="Arial"/>
          <w:sz w:val="20"/>
          <w:szCs w:val="20"/>
        </w:rPr>
      </w:pPr>
      <w:r w:rsidRPr="00E53F2D">
        <w:rPr>
          <w:rFonts w:ascii="Arial" w:hAnsi="Arial" w:cs="Arial"/>
          <w:sz w:val="20"/>
          <w:szCs w:val="20"/>
        </w:rPr>
        <w:t>Portal za financiranje in razpise:</w:t>
      </w:r>
    </w:p>
    <w:p w:rsidR="00526E3A" w:rsidRPr="00E53F2D" w:rsidRDefault="00526E3A" w:rsidP="00E53F2D">
      <w:pPr>
        <w:pStyle w:val="Odstavekseznama"/>
        <w:numPr>
          <w:ilvl w:val="0"/>
          <w:numId w:val="1"/>
        </w:numPr>
        <w:jc w:val="both"/>
        <w:rPr>
          <w:rFonts w:ascii="Arial" w:hAnsi="Arial" w:cs="Arial"/>
          <w:sz w:val="20"/>
          <w:szCs w:val="20"/>
        </w:rPr>
      </w:pPr>
      <w:hyperlink r:id="rId9" w:history="1">
        <w:r w:rsidRPr="00E53F2D">
          <w:rPr>
            <w:rStyle w:val="Hiperpovezava"/>
            <w:rFonts w:ascii="Arial" w:hAnsi="Arial" w:cs="Arial"/>
            <w:sz w:val="20"/>
            <w:szCs w:val="20"/>
          </w:rPr>
          <w:t>https://ec.europa.eu/info/funding-tenders/opportunities/portal/screen/opportunities/topic-search;callCode=null;freeTextSearchKeyword=;matchWholeText=true;typeCodes=1;statusCodes=31094501,31094502,31094503;programmePeriod=2021%20-%202027;programCcm2Id=43108390;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w:t>
        </w:r>
      </w:hyperlink>
    </w:p>
    <w:p w:rsidR="00526E3A" w:rsidRPr="007F7679" w:rsidRDefault="00526E3A" w:rsidP="00E53F2D">
      <w:pPr>
        <w:spacing w:after="0"/>
        <w:jc w:val="both"/>
        <w:rPr>
          <w:rFonts w:ascii="Arial" w:hAnsi="Arial" w:cs="Arial"/>
          <w:sz w:val="20"/>
          <w:szCs w:val="20"/>
        </w:rPr>
      </w:pPr>
      <w:r w:rsidRPr="007F7679">
        <w:rPr>
          <w:rFonts w:ascii="Arial" w:hAnsi="Arial" w:cs="Arial"/>
          <w:sz w:val="20"/>
          <w:szCs w:val="20"/>
        </w:rPr>
        <w:t>Pripravila:</w:t>
      </w:r>
    </w:p>
    <w:p w:rsidR="00526E3A" w:rsidRPr="007F7679" w:rsidRDefault="00526E3A" w:rsidP="00E53F2D">
      <w:pPr>
        <w:spacing w:after="0"/>
        <w:jc w:val="both"/>
        <w:rPr>
          <w:rFonts w:ascii="Arial" w:hAnsi="Arial" w:cs="Arial"/>
          <w:sz w:val="20"/>
          <w:szCs w:val="20"/>
        </w:rPr>
      </w:pPr>
      <w:r w:rsidRPr="007F7679">
        <w:rPr>
          <w:rFonts w:ascii="Arial" w:hAnsi="Arial" w:cs="Arial"/>
          <w:sz w:val="20"/>
          <w:szCs w:val="20"/>
        </w:rPr>
        <w:t>Darja Kocbek</w:t>
      </w:r>
    </w:p>
    <w:p w:rsidR="00426148" w:rsidRDefault="00426148" w:rsidP="00E53F2D">
      <w:pPr>
        <w:spacing w:after="0"/>
      </w:pPr>
    </w:p>
    <w:sectPr w:rsidR="00426148" w:rsidSect="00B67D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A151A0"/>
    <w:multiLevelType w:val="hybridMultilevel"/>
    <w:tmpl w:val="611CF5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7922"/>
    <w:rsid w:val="00426148"/>
    <w:rsid w:val="00526E3A"/>
    <w:rsid w:val="0063626E"/>
    <w:rsid w:val="007F7679"/>
    <w:rsid w:val="00B67D1C"/>
    <w:rsid w:val="00C77922"/>
    <w:rsid w:val="00D82EE6"/>
    <w:rsid w:val="00E53F2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67D1C"/>
  </w:style>
  <w:style w:type="paragraph" w:styleId="Naslov2">
    <w:name w:val="heading 2"/>
    <w:basedOn w:val="Navaden"/>
    <w:next w:val="Navaden"/>
    <w:link w:val="Naslov2Znak"/>
    <w:uiPriority w:val="9"/>
    <w:unhideWhenUsed/>
    <w:qFormat/>
    <w:rsid w:val="00E53F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link w:val="Naslov3Znak"/>
    <w:uiPriority w:val="9"/>
    <w:qFormat/>
    <w:rsid w:val="0063626E"/>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77922"/>
    <w:rPr>
      <w:color w:val="0000FF"/>
      <w:u w:val="single"/>
    </w:rPr>
  </w:style>
  <w:style w:type="character" w:customStyle="1" w:styleId="Naslov3Znak">
    <w:name w:val="Naslov 3 Znak"/>
    <w:basedOn w:val="Privzetapisavaodstavka"/>
    <w:link w:val="Naslov3"/>
    <w:uiPriority w:val="9"/>
    <w:rsid w:val="0063626E"/>
    <w:rPr>
      <w:rFonts w:ascii="Times New Roman" w:eastAsia="Times New Roman" w:hAnsi="Times New Roman" w:cs="Times New Roman"/>
      <w:b/>
      <w:bCs/>
      <w:sz w:val="27"/>
      <w:szCs w:val="27"/>
      <w:lang w:eastAsia="sl-SI"/>
    </w:rPr>
  </w:style>
  <w:style w:type="table" w:styleId="Tabela-mrea">
    <w:name w:val="Table Grid"/>
    <w:basedOn w:val="Navadnatabela"/>
    <w:uiPriority w:val="59"/>
    <w:rsid w:val="006362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kseznama">
    <w:name w:val="List Paragraph"/>
    <w:basedOn w:val="Navaden"/>
    <w:uiPriority w:val="34"/>
    <w:qFormat/>
    <w:rsid w:val="00E53F2D"/>
    <w:pPr>
      <w:ind w:left="720"/>
      <w:contextualSpacing/>
    </w:pPr>
  </w:style>
  <w:style w:type="character" w:customStyle="1" w:styleId="Naslov2Znak">
    <w:name w:val="Naslov 2 Znak"/>
    <w:basedOn w:val="Privzetapisavaodstavka"/>
    <w:link w:val="Naslov2"/>
    <w:uiPriority w:val="9"/>
    <w:rsid w:val="00E53F2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E53F2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53F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73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research-and-innovation/events/upcoming-events/horizon-europe-info-days/eu-missions_sl" TargetMode="External"/><Relationship Id="rId3" Type="http://schemas.openxmlformats.org/officeDocument/2006/relationships/settings" Target="settings.xml"/><Relationship Id="rId7" Type="http://schemas.openxmlformats.org/officeDocument/2006/relationships/hyperlink" Target="https://ec.europa.eu/info/research-and-innovation/funding/funding-opportunities/funding-programmes-and-open-calls/horizon-europe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research-and-innovation/funding/funding-opportunities/funding-programmes-and-open-calls/horizon-europe/eu-missions-horizon-europe_s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info/funding-tenders/opportunities/portal/screen/opportunities/topic-search;callCode=null;freeTextSearchKeyword=;matchWholeText=true;typeCodes=1;statusCodes=31094501,31094502,31094503;programmePeriod=2021%20-%202027;programCcm2Id=43108390;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705</Words>
  <Characters>4019</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2022-05-10T20:41:00Z</dcterms:created>
  <dcterms:modified xsi:type="dcterms:W3CDTF">2022-05-10T21:06:00Z</dcterms:modified>
</cp:coreProperties>
</file>