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9F" w:rsidRPr="00467345" w:rsidRDefault="000D079F" w:rsidP="000D079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79F" w:rsidRPr="00083714" w:rsidRDefault="000D079F" w:rsidP="000D079F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D079F" w:rsidRPr="00083714" w:rsidRDefault="000D079F" w:rsidP="000D079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D079F" w:rsidRDefault="000D079F" w:rsidP="000D079F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0D079F" w:rsidRDefault="000D079F" w:rsidP="000D079F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79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0D079F" w:rsidRDefault="000D079F" w:rsidP="000D079F">
      <w:pPr>
        <w:tabs>
          <w:tab w:val="left" w:pos="3120"/>
        </w:tabs>
        <w:spacing w:after="0"/>
        <w:jc w:val="center"/>
        <w:rPr>
          <w:b/>
        </w:rPr>
      </w:pPr>
    </w:p>
    <w:p w:rsidR="000D079F" w:rsidRDefault="000D079F" w:rsidP="000D079F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17. maj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0D079F" w:rsidRPr="00050C1F" w:rsidRDefault="000D079F" w:rsidP="000D079F">
      <w:pPr>
        <w:tabs>
          <w:tab w:val="left" w:pos="3120"/>
        </w:tabs>
        <w:spacing w:after="0"/>
        <w:jc w:val="center"/>
        <w:rPr>
          <w:b/>
        </w:rPr>
      </w:pPr>
    </w:p>
    <w:p w:rsidR="000D079F" w:rsidRDefault="000D079F" w:rsidP="000D079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sprejela akcijski načrt za ničelno onesnaževan je zraka, vode in tal</w:t>
      </w:r>
    </w:p>
    <w:p w:rsidR="001E307E" w:rsidRPr="00533E13" w:rsidRDefault="009862D2" w:rsidP="00533E13">
      <w:pPr>
        <w:jc w:val="both"/>
        <w:rPr>
          <w:rFonts w:ascii="Arial" w:hAnsi="Arial" w:cs="Arial"/>
          <w:b/>
          <w:i/>
        </w:rPr>
      </w:pPr>
      <w:r w:rsidRPr="00533E13">
        <w:rPr>
          <w:rFonts w:ascii="Arial" w:hAnsi="Arial" w:cs="Arial"/>
          <w:b/>
          <w:i/>
        </w:rPr>
        <w:t>Evropska komisija je sprejela akcijski načrt EU za ničelno onesnaževanje zraka, vode in tal, ki določa ključne cilje za leto 2030 v zvezi z zmanjšanjem onesnaževanja pri viru v primerjavi s trenutnim stanjem</w:t>
      </w:r>
      <w:r w:rsidR="00BC1AF0" w:rsidRPr="00533E13">
        <w:rPr>
          <w:rFonts w:ascii="Arial" w:hAnsi="Arial" w:cs="Arial"/>
          <w:b/>
          <w:i/>
        </w:rPr>
        <w:t xml:space="preserve">. </w:t>
      </w:r>
      <w:r w:rsidRPr="00533E13">
        <w:rPr>
          <w:rFonts w:ascii="Arial" w:hAnsi="Arial" w:cs="Arial"/>
          <w:b/>
          <w:i/>
        </w:rPr>
        <w:t xml:space="preserve">Poseben poudarek </w:t>
      </w:r>
      <w:r w:rsidR="00BC1AF0" w:rsidRPr="00533E13">
        <w:rPr>
          <w:rFonts w:ascii="Arial" w:hAnsi="Arial" w:cs="Arial"/>
          <w:b/>
          <w:i/>
        </w:rPr>
        <w:t>je Evropska komisija v načrtu</w:t>
      </w:r>
      <w:r w:rsidRPr="00533E13">
        <w:rPr>
          <w:rFonts w:ascii="Arial" w:hAnsi="Arial" w:cs="Arial"/>
          <w:b/>
          <w:i/>
        </w:rPr>
        <w:t xml:space="preserve"> </w:t>
      </w:r>
      <w:r w:rsidR="00BC1AF0" w:rsidRPr="00533E13">
        <w:rPr>
          <w:rFonts w:ascii="Arial" w:hAnsi="Arial" w:cs="Arial"/>
          <w:b/>
          <w:i/>
        </w:rPr>
        <w:t xml:space="preserve">dala </w:t>
      </w:r>
      <w:r w:rsidRPr="00533E13">
        <w:rPr>
          <w:rFonts w:ascii="Arial" w:hAnsi="Arial" w:cs="Arial"/>
          <w:b/>
          <w:i/>
        </w:rPr>
        <w:t>uporabi digitalnih rešitev za boj proti onesnaževanju</w:t>
      </w:r>
      <w:r w:rsidR="00BC1AF0" w:rsidRPr="00533E13">
        <w:rPr>
          <w:rFonts w:ascii="Arial" w:hAnsi="Arial" w:cs="Arial"/>
          <w:b/>
          <w:i/>
        </w:rPr>
        <w:t xml:space="preserve"> in določila več vodilnih pobud in ukrepov. Člani lahko dobijo več informacij na SBRA.</w:t>
      </w:r>
    </w:p>
    <w:p w:rsidR="00EE1905" w:rsidRPr="00533E13" w:rsidRDefault="0029193E" w:rsidP="00533E13">
      <w:pPr>
        <w:jc w:val="both"/>
        <w:rPr>
          <w:rFonts w:ascii="Arial" w:hAnsi="Arial" w:cs="Arial"/>
          <w:b/>
          <w:sz w:val="20"/>
          <w:szCs w:val="20"/>
        </w:rPr>
      </w:pPr>
      <w:r w:rsidRPr="00533E13">
        <w:rPr>
          <w:rFonts w:ascii="Arial" w:hAnsi="Arial" w:cs="Arial"/>
          <w:b/>
          <w:sz w:val="20"/>
          <w:szCs w:val="20"/>
        </w:rPr>
        <w:t>Tabe</w:t>
      </w:r>
      <w:r w:rsidR="00EE1905" w:rsidRPr="00533E13">
        <w:rPr>
          <w:rFonts w:ascii="Arial" w:hAnsi="Arial" w:cs="Arial"/>
          <w:b/>
          <w:sz w:val="20"/>
          <w:szCs w:val="20"/>
        </w:rPr>
        <w:t>la 1: Ključni cilji</w:t>
      </w:r>
      <w:r w:rsidR="00BC1AF0" w:rsidRPr="00533E13">
        <w:rPr>
          <w:rFonts w:ascii="Arial" w:hAnsi="Arial" w:cs="Arial"/>
          <w:b/>
          <w:sz w:val="20"/>
          <w:szCs w:val="20"/>
        </w:rPr>
        <w:t xml:space="preserve"> za leto 2030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2806C7" w:rsidRPr="00533E13" w:rsidTr="002806C7"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3E13">
              <w:rPr>
                <w:rFonts w:ascii="Arial" w:hAnsi="Arial" w:cs="Arial"/>
                <w:b/>
                <w:sz w:val="20"/>
                <w:szCs w:val="20"/>
              </w:rPr>
              <w:t>Cilj</w:t>
            </w:r>
          </w:p>
        </w:tc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3E13">
              <w:rPr>
                <w:rFonts w:ascii="Arial" w:hAnsi="Arial" w:cs="Arial"/>
                <w:b/>
                <w:sz w:val="20"/>
                <w:szCs w:val="20"/>
              </w:rPr>
              <w:t>Delež v odstotkih</w:t>
            </w:r>
          </w:p>
        </w:tc>
      </w:tr>
      <w:tr w:rsidR="002806C7" w:rsidRPr="00533E13" w:rsidTr="002806C7"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izboljšanje kakovosti zraka, da bi zmanjšali število prezgodnjih smrti zaradi onesnaženosti zraka</w:t>
            </w:r>
          </w:p>
        </w:tc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2806C7" w:rsidRPr="00533E13" w:rsidTr="002806C7"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izboljšanje kakovosti vode z zmanjšanjem količine odpadkov, plastičnih odpadkov v morju</w:t>
            </w:r>
          </w:p>
        </w:tc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806C7" w:rsidRPr="00533E13" w:rsidTr="002806C7"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 xml:space="preserve">izboljšanje kakovosti vode z zmanjšanjem količine </w:t>
            </w:r>
            <w:proofErr w:type="spellStart"/>
            <w:r w:rsidRPr="00533E13">
              <w:rPr>
                <w:rFonts w:ascii="Arial" w:hAnsi="Arial" w:cs="Arial"/>
                <w:sz w:val="20"/>
                <w:szCs w:val="20"/>
              </w:rPr>
              <w:t>mikroplastike</w:t>
            </w:r>
            <w:proofErr w:type="spellEnd"/>
            <w:r w:rsidRPr="00533E13">
              <w:rPr>
                <w:rFonts w:ascii="Arial" w:hAnsi="Arial" w:cs="Arial"/>
                <w:sz w:val="20"/>
                <w:szCs w:val="20"/>
              </w:rPr>
              <w:t>, ki se sprošča v okolje</w:t>
            </w:r>
          </w:p>
        </w:tc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806C7" w:rsidRPr="00533E13" w:rsidTr="002806C7"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izboljšanje kakovosti tal z zmanjšanjem izgub hranil in uporabe kemičnih pesticidov</w:t>
            </w:r>
          </w:p>
        </w:tc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806C7" w:rsidRPr="00533E13" w:rsidTr="002806C7"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zmanjšanje deleža ekosistemov EU, v katerih onesnaženost zraka ogroža biotsko raznovrstnost</w:t>
            </w:r>
          </w:p>
        </w:tc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806C7" w:rsidRPr="00533E13" w:rsidTr="002806C7"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zmanjšanje deleža ljudi, ki so stalno izpostavljeni prometnemu hrupu</w:t>
            </w:r>
          </w:p>
        </w:tc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806C7" w:rsidRPr="00533E13" w:rsidTr="002806C7"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znatno zmanjšanje nastajanja odpadkov in zmanjšanje ostankov komunalnih odpadkov</w:t>
            </w:r>
          </w:p>
        </w:tc>
        <w:tc>
          <w:tcPr>
            <w:tcW w:w="4606" w:type="dxa"/>
          </w:tcPr>
          <w:p w:rsidR="002806C7" w:rsidRPr="00533E13" w:rsidRDefault="002806C7" w:rsidP="00533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E1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:rsidR="002806C7" w:rsidRPr="00533E13" w:rsidRDefault="002806C7" w:rsidP="00533E13">
      <w:pPr>
        <w:jc w:val="both"/>
        <w:rPr>
          <w:rFonts w:ascii="Arial" w:hAnsi="Arial" w:cs="Arial"/>
          <w:sz w:val="20"/>
          <w:szCs w:val="20"/>
        </w:rPr>
      </w:pPr>
      <w:r w:rsidRPr="00533E13">
        <w:rPr>
          <w:rFonts w:ascii="Arial" w:hAnsi="Arial" w:cs="Arial"/>
          <w:sz w:val="20"/>
          <w:szCs w:val="20"/>
        </w:rPr>
        <w:t>Vir: Evropska komisija</w:t>
      </w:r>
    </w:p>
    <w:p w:rsidR="0029193E" w:rsidRPr="00533E13" w:rsidRDefault="0029193E" w:rsidP="00533E13">
      <w:pPr>
        <w:jc w:val="both"/>
        <w:rPr>
          <w:rFonts w:ascii="Arial" w:hAnsi="Arial" w:cs="Arial"/>
          <w:sz w:val="20"/>
          <w:szCs w:val="20"/>
        </w:rPr>
      </w:pPr>
      <w:r w:rsidRPr="00533E13">
        <w:rPr>
          <w:rFonts w:ascii="Arial" w:hAnsi="Arial" w:cs="Arial"/>
          <w:sz w:val="20"/>
          <w:szCs w:val="20"/>
        </w:rPr>
        <w:t>Akcijski načrt EU za ničelno onesnaževanje zraka, vode in tal je po pojasnilu Evropske komisije skladen s cilji EU glede podnebne nevtralnosti, zdravja, biotske raznovrstnosti in učinkovite rabe virov, prav tako pa nadgrajuje pobude na področju energije, industrije, mobilnosti, prehrane, krožnega gospodarstva in kmetijstva.</w:t>
      </w:r>
      <w:r w:rsidR="00911C41" w:rsidRPr="00533E13">
        <w:rPr>
          <w:rFonts w:ascii="Arial" w:hAnsi="Arial" w:cs="Arial"/>
          <w:sz w:val="20"/>
          <w:szCs w:val="20"/>
        </w:rPr>
        <w:t xml:space="preserve"> Načrt bo glavna tema letošnjega Zelenega tedna EU med 1. in 4. junijem.</w:t>
      </w:r>
    </w:p>
    <w:p w:rsidR="00B76007" w:rsidRDefault="00B76007" w:rsidP="00533E13">
      <w:pPr>
        <w:jc w:val="both"/>
        <w:rPr>
          <w:rFonts w:ascii="Arial" w:hAnsi="Arial" w:cs="Arial"/>
          <w:b/>
          <w:sz w:val="20"/>
          <w:szCs w:val="20"/>
        </w:rPr>
      </w:pPr>
    </w:p>
    <w:p w:rsidR="0029193E" w:rsidRPr="00533E13" w:rsidRDefault="0029193E" w:rsidP="00533E13">
      <w:pPr>
        <w:jc w:val="both"/>
        <w:rPr>
          <w:rFonts w:ascii="Arial" w:hAnsi="Arial" w:cs="Arial"/>
          <w:b/>
          <w:sz w:val="20"/>
          <w:szCs w:val="20"/>
        </w:rPr>
      </w:pPr>
      <w:r w:rsidRPr="00533E13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911C41" w:rsidRPr="00533E13" w:rsidRDefault="00911C41" w:rsidP="00533E1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33E13">
        <w:rPr>
          <w:rFonts w:ascii="Arial" w:hAnsi="Arial" w:cs="Arial"/>
          <w:sz w:val="20"/>
          <w:szCs w:val="20"/>
        </w:rPr>
        <w:t>Spletna stran o akcijskem načrtu za ničelno onesnaževanje s povezavami na dokumente:</w:t>
      </w:r>
    </w:p>
    <w:p w:rsidR="00911C41" w:rsidRPr="00533E13" w:rsidRDefault="00911C41" w:rsidP="00533E1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33E13">
          <w:rPr>
            <w:rStyle w:val="Hiperpovezava"/>
            <w:rFonts w:ascii="Arial" w:hAnsi="Arial" w:cs="Arial"/>
            <w:sz w:val="20"/>
            <w:szCs w:val="20"/>
          </w:rPr>
          <w:t>https://ec.europa.eu/environment/strategy/zero-pollution-action-plan_sl</w:t>
        </w:r>
      </w:hyperlink>
      <w:r w:rsidRPr="00533E13">
        <w:rPr>
          <w:rFonts w:ascii="Arial" w:hAnsi="Arial" w:cs="Arial"/>
          <w:sz w:val="20"/>
          <w:szCs w:val="20"/>
        </w:rPr>
        <w:t xml:space="preserve"> </w:t>
      </w:r>
    </w:p>
    <w:p w:rsidR="00911C41" w:rsidRPr="00533E13" w:rsidRDefault="00911C41" w:rsidP="00533E13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3E13">
        <w:rPr>
          <w:rFonts w:ascii="Arial" w:hAnsi="Arial" w:cs="Arial"/>
          <w:sz w:val="20"/>
          <w:szCs w:val="20"/>
        </w:rPr>
        <w:t>Pripravila:</w:t>
      </w:r>
    </w:p>
    <w:p w:rsidR="00911C41" w:rsidRPr="00533E13" w:rsidRDefault="00911C41" w:rsidP="00533E13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3E13">
        <w:rPr>
          <w:rFonts w:ascii="Arial" w:hAnsi="Arial" w:cs="Arial"/>
          <w:sz w:val="20"/>
          <w:szCs w:val="20"/>
        </w:rPr>
        <w:t>Darja Kocbek</w:t>
      </w:r>
    </w:p>
    <w:p w:rsidR="00BC1AF0" w:rsidRDefault="0029193E" w:rsidP="00533E13">
      <w:pPr>
        <w:spacing w:after="0"/>
      </w:pPr>
      <w:r>
        <w:t> </w:t>
      </w:r>
      <w:r w:rsidR="00BC1AF0">
        <w:t xml:space="preserve"> </w:t>
      </w:r>
    </w:p>
    <w:sectPr w:rsidR="00BC1AF0" w:rsidSect="001E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503A"/>
    <w:multiLevelType w:val="hybridMultilevel"/>
    <w:tmpl w:val="F7C4A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2D2"/>
    <w:rsid w:val="000D079F"/>
    <w:rsid w:val="001E307E"/>
    <w:rsid w:val="002806C7"/>
    <w:rsid w:val="0029193E"/>
    <w:rsid w:val="00533E13"/>
    <w:rsid w:val="00911C41"/>
    <w:rsid w:val="009862D2"/>
    <w:rsid w:val="00B76007"/>
    <w:rsid w:val="00BC1AF0"/>
    <w:rsid w:val="00D72FBF"/>
    <w:rsid w:val="00EE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307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D07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862D2"/>
    <w:rPr>
      <w:color w:val="0000FF"/>
      <w:u w:val="single"/>
    </w:rPr>
  </w:style>
  <w:style w:type="table" w:styleId="Tabela-mrea">
    <w:name w:val="Table Grid"/>
    <w:basedOn w:val="Navadnatabela"/>
    <w:uiPriority w:val="59"/>
    <w:rsid w:val="00280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33E1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D07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0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vironment/strategy/zero-pollution-action-plan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2021-05-12T16:07:00Z</dcterms:created>
  <dcterms:modified xsi:type="dcterms:W3CDTF">2021-05-12T16:48:00Z</dcterms:modified>
</cp:coreProperties>
</file>