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064D" w:rsidRPr="00467345" w:rsidRDefault="004C064D" w:rsidP="004C064D">
      <w:pPr>
        <w:tabs>
          <w:tab w:val="left" w:pos="2520"/>
          <w:tab w:val="left" w:pos="2700"/>
          <w:tab w:val="left" w:pos="3120"/>
        </w:tabs>
        <w:spacing w:before="240"/>
        <w:jc w:val="center"/>
      </w:pPr>
      <w:r w:rsidRPr="00083714">
        <w:rPr>
          <w:noProof/>
          <w:lang w:eastAsia="sl-SI"/>
        </w:rPr>
        <w:drawing>
          <wp:inline distT="0" distB="0" distL="0" distR="0">
            <wp:extent cx="2000250" cy="1028700"/>
            <wp:effectExtent l="19050" t="0" r="0" b="0"/>
            <wp:docPr id="2" name="Slika 1" descr="SBRA-co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BRA-cou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064D" w:rsidRPr="00301C78" w:rsidRDefault="004C064D" w:rsidP="004C064D">
      <w:pPr>
        <w:pStyle w:val="Naslov2"/>
        <w:tabs>
          <w:tab w:val="left" w:pos="3120"/>
        </w:tabs>
        <w:spacing w:before="0"/>
        <w:jc w:val="center"/>
        <w:rPr>
          <w:sz w:val="22"/>
        </w:rPr>
      </w:pPr>
      <w:r w:rsidRPr="00083714">
        <w:rPr>
          <w:sz w:val="22"/>
        </w:rPr>
        <w:t>Slovensko gospodarsko in raziskovalno združenje, Bruselj</w:t>
      </w:r>
    </w:p>
    <w:p w:rsidR="004C064D" w:rsidRPr="00083714" w:rsidRDefault="004C064D" w:rsidP="004C064D">
      <w:pPr>
        <w:pBdr>
          <w:bottom w:val="single" w:sz="6" w:space="1" w:color="auto"/>
        </w:pBdr>
        <w:tabs>
          <w:tab w:val="left" w:pos="3120"/>
        </w:tabs>
        <w:rPr>
          <w:sz w:val="16"/>
          <w:szCs w:val="16"/>
        </w:rPr>
      </w:pPr>
    </w:p>
    <w:p w:rsidR="004C064D" w:rsidRDefault="004C064D" w:rsidP="004C064D">
      <w:pPr>
        <w:tabs>
          <w:tab w:val="left" w:pos="3120"/>
        </w:tabs>
        <w:jc w:val="center"/>
        <w:rPr>
          <w:b/>
        </w:rPr>
      </w:pPr>
      <w:r>
        <w:rPr>
          <w:b/>
        </w:rPr>
        <w:t xml:space="preserve">Občasna informacija članom 78 </w:t>
      </w:r>
      <w:r w:rsidRPr="00083714">
        <w:rPr>
          <w:b/>
        </w:rPr>
        <w:t>– 20</w:t>
      </w:r>
      <w:r>
        <w:rPr>
          <w:b/>
        </w:rPr>
        <w:t>23</w:t>
      </w:r>
    </w:p>
    <w:p w:rsidR="004C064D" w:rsidRDefault="004C064D" w:rsidP="004C064D">
      <w:pPr>
        <w:tabs>
          <w:tab w:val="left" w:pos="3120"/>
        </w:tabs>
        <w:jc w:val="center"/>
        <w:rPr>
          <w:b/>
        </w:rPr>
      </w:pPr>
      <w:r>
        <w:rPr>
          <w:b/>
        </w:rPr>
        <w:t xml:space="preserve">08. maj </w:t>
      </w:r>
      <w:r w:rsidRPr="00083714">
        <w:rPr>
          <w:b/>
        </w:rPr>
        <w:t xml:space="preserve"> 20</w:t>
      </w:r>
      <w:r>
        <w:rPr>
          <w:b/>
        </w:rPr>
        <w:t>23</w:t>
      </w:r>
    </w:p>
    <w:p w:rsidR="00A550E5" w:rsidRDefault="004C064D" w:rsidP="004C064D">
      <w:pPr>
        <w:jc w:val="center"/>
        <w:rPr>
          <w:rFonts w:ascii="Arial" w:hAnsi="Arial" w:cs="Arial"/>
          <w:b/>
          <w:i/>
        </w:rPr>
      </w:pPr>
      <w:r>
        <w:rPr>
          <w:b/>
          <w:color w:val="993300"/>
          <w:sz w:val="32"/>
          <w:szCs w:val="32"/>
        </w:rPr>
        <w:t>Evropska komisija bo financirala dva projekta o ženskah v modrem gospodarstvu</w:t>
      </w:r>
    </w:p>
    <w:p w:rsidR="00233362" w:rsidRPr="009533BA" w:rsidRDefault="004318A5" w:rsidP="009533BA">
      <w:pPr>
        <w:jc w:val="both"/>
        <w:rPr>
          <w:rFonts w:ascii="Arial" w:hAnsi="Arial" w:cs="Arial"/>
          <w:b/>
          <w:i/>
        </w:rPr>
      </w:pPr>
      <w:r w:rsidRPr="009533BA">
        <w:rPr>
          <w:rFonts w:ascii="Arial" w:hAnsi="Arial" w:cs="Arial"/>
          <w:b/>
          <w:i/>
        </w:rPr>
        <w:t>Evropska komisija je na podlagi razpisa za zbiranje predlogov o ženskah v modrem gospodarstvu  dodelila nepovratna sredstva EU dvema projektoma. Razpis je bil objavljen na podlagi sporočila »Unija enakosti: Strategija za enakost spolov za obdobje 2020-2025« in sporočila »Nov pristop za trajnostno modro gospodarstvo v EU«, v katerem so opisani načrti za pomorske sektorje za spodbujanje zelene in digitalne preobrazbe.</w:t>
      </w:r>
      <w:r w:rsidR="008A633E" w:rsidRPr="009533BA">
        <w:rPr>
          <w:rFonts w:ascii="Arial" w:hAnsi="Arial" w:cs="Arial"/>
          <w:b/>
          <w:i/>
        </w:rPr>
        <w:t xml:space="preserve"> </w:t>
      </w:r>
      <w:r w:rsidR="009533BA">
        <w:rPr>
          <w:rFonts w:ascii="Arial" w:hAnsi="Arial" w:cs="Arial"/>
          <w:b/>
          <w:i/>
        </w:rPr>
        <w:t xml:space="preserve">Na evropskih dnevih pomorstva v Brestu v Franciji bo 24. maja delavnica Ženske v modrem gospodarstvu. </w:t>
      </w:r>
      <w:r w:rsidR="004C064D">
        <w:rPr>
          <w:rFonts w:ascii="Arial" w:hAnsi="Arial" w:cs="Arial"/>
          <w:b/>
          <w:i/>
        </w:rPr>
        <w:t>Člani lahko dobi</w:t>
      </w:r>
      <w:r w:rsidR="008A633E" w:rsidRPr="009533BA">
        <w:rPr>
          <w:rFonts w:ascii="Arial" w:hAnsi="Arial" w:cs="Arial"/>
          <w:b/>
          <w:i/>
        </w:rPr>
        <w:t>jo več informacij na SBRA.</w:t>
      </w:r>
    </w:p>
    <w:p w:rsidR="008A633E" w:rsidRPr="00A550E5" w:rsidRDefault="008A633E" w:rsidP="009533BA">
      <w:pPr>
        <w:jc w:val="both"/>
        <w:rPr>
          <w:rFonts w:ascii="Arial" w:hAnsi="Arial" w:cs="Arial"/>
          <w:b/>
          <w:sz w:val="20"/>
          <w:szCs w:val="20"/>
        </w:rPr>
      </w:pPr>
      <w:r w:rsidRPr="00A550E5">
        <w:rPr>
          <w:rFonts w:ascii="Arial" w:hAnsi="Arial" w:cs="Arial"/>
          <w:b/>
          <w:sz w:val="20"/>
          <w:szCs w:val="20"/>
        </w:rPr>
        <w:t xml:space="preserve">Projekt WIN-BIG - </w:t>
      </w:r>
      <w:proofErr w:type="spellStart"/>
      <w:r w:rsidRPr="00A550E5">
        <w:rPr>
          <w:rFonts w:ascii="Arial" w:hAnsi="Arial" w:cs="Arial"/>
          <w:b/>
          <w:sz w:val="20"/>
          <w:szCs w:val="20"/>
        </w:rPr>
        <w:t>Women</w:t>
      </w:r>
      <w:proofErr w:type="spellEnd"/>
      <w:r w:rsidRPr="00A550E5">
        <w:rPr>
          <w:rFonts w:ascii="Arial" w:hAnsi="Arial" w:cs="Arial"/>
          <w:b/>
          <w:sz w:val="20"/>
          <w:szCs w:val="20"/>
        </w:rPr>
        <w:t xml:space="preserve"> in </w:t>
      </w:r>
      <w:proofErr w:type="spellStart"/>
      <w:r w:rsidRPr="00A550E5">
        <w:rPr>
          <w:rFonts w:ascii="Arial" w:hAnsi="Arial" w:cs="Arial"/>
          <w:b/>
          <w:sz w:val="20"/>
          <w:szCs w:val="20"/>
        </w:rPr>
        <w:t>Blue</w:t>
      </w:r>
      <w:proofErr w:type="spellEnd"/>
      <w:r w:rsidRPr="00A550E5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A550E5">
        <w:rPr>
          <w:rFonts w:ascii="Arial" w:hAnsi="Arial" w:cs="Arial"/>
          <w:b/>
          <w:sz w:val="20"/>
          <w:szCs w:val="20"/>
        </w:rPr>
        <w:t>Economy</w:t>
      </w:r>
      <w:proofErr w:type="spellEnd"/>
      <w:r w:rsidRPr="00A550E5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A550E5">
        <w:rPr>
          <w:rFonts w:ascii="Arial" w:hAnsi="Arial" w:cs="Arial"/>
          <w:b/>
          <w:sz w:val="20"/>
          <w:szCs w:val="20"/>
        </w:rPr>
        <w:t>Intelligence</w:t>
      </w:r>
      <w:proofErr w:type="spellEnd"/>
      <w:r w:rsidRPr="00A550E5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A550E5">
        <w:rPr>
          <w:rFonts w:ascii="Arial" w:hAnsi="Arial" w:cs="Arial"/>
          <w:b/>
          <w:sz w:val="20"/>
          <w:szCs w:val="20"/>
        </w:rPr>
        <w:t>Gathering</w:t>
      </w:r>
      <w:proofErr w:type="spellEnd"/>
      <w:r w:rsidRPr="00A550E5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A550E5">
        <w:rPr>
          <w:rFonts w:ascii="Arial" w:hAnsi="Arial" w:cs="Arial"/>
          <w:b/>
          <w:sz w:val="20"/>
          <w:szCs w:val="20"/>
        </w:rPr>
        <w:t>and</w:t>
      </w:r>
      <w:proofErr w:type="spellEnd"/>
      <w:r w:rsidRPr="00A550E5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A550E5">
        <w:rPr>
          <w:rFonts w:ascii="Arial" w:hAnsi="Arial" w:cs="Arial"/>
          <w:b/>
          <w:sz w:val="20"/>
          <w:szCs w:val="20"/>
        </w:rPr>
        <w:t>Capacity</w:t>
      </w:r>
      <w:proofErr w:type="spellEnd"/>
      <w:r w:rsidRPr="00A550E5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A550E5">
        <w:rPr>
          <w:rFonts w:ascii="Arial" w:hAnsi="Arial" w:cs="Arial"/>
          <w:b/>
          <w:sz w:val="20"/>
          <w:szCs w:val="20"/>
        </w:rPr>
        <w:t>Boosting</w:t>
      </w:r>
      <w:proofErr w:type="spellEnd"/>
    </w:p>
    <w:p w:rsidR="008A633E" w:rsidRPr="009533BA" w:rsidRDefault="008A633E" w:rsidP="009533BA">
      <w:pPr>
        <w:jc w:val="both"/>
        <w:rPr>
          <w:rFonts w:ascii="Arial" w:hAnsi="Arial" w:cs="Arial"/>
          <w:sz w:val="20"/>
          <w:szCs w:val="20"/>
        </w:rPr>
      </w:pPr>
      <w:r w:rsidRPr="009533BA">
        <w:rPr>
          <w:rFonts w:ascii="Arial" w:hAnsi="Arial" w:cs="Arial"/>
          <w:sz w:val="20"/>
          <w:szCs w:val="20"/>
        </w:rPr>
        <w:t>Namen projekta WIN-BIG je odpraviti trenutne vrzeli v znanju o vlogi in udeležbi žensk v modrem gospodarstvu v Evropi. Z raziskavami in pridobivanjem podatkov želijo partnerji v projektu zbrati informacije o udeležbi žensk v modrem gospodarstvu in njegovih šestih morskih bazenih v EU.</w:t>
      </w:r>
    </w:p>
    <w:p w:rsidR="008A633E" w:rsidRPr="009533BA" w:rsidRDefault="008A633E" w:rsidP="009533BA">
      <w:pPr>
        <w:jc w:val="both"/>
        <w:rPr>
          <w:rFonts w:ascii="Arial" w:hAnsi="Arial" w:cs="Arial"/>
          <w:sz w:val="20"/>
          <w:szCs w:val="20"/>
        </w:rPr>
      </w:pPr>
      <w:r w:rsidRPr="009533BA">
        <w:rPr>
          <w:rFonts w:ascii="Arial" w:hAnsi="Arial" w:cs="Arial"/>
          <w:sz w:val="20"/>
          <w:szCs w:val="20"/>
        </w:rPr>
        <w:t xml:space="preserve">Poleg ugotavljanja vrzeli v znanju in spretnostih, ki ženskam preprečujejo vstop in napredek v modri karieri, je cilj projekta WIN-BIG ustvariti priložnosti za krepitev zmogljivosti, prilagojene posameznim ženskam in bazenom, v nastajajočih sektorjih, kot so modro </w:t>
      </w:r>
      <w:proofErr w:type="spellStart"/>
      <w:r w:rsidRPr="009533BA">
        <w:rPr>
          <w:rFonts w:ascii="Arial" w:hAnsi="Arial" w:cs="Arial"/>
          <w:sz w:val="20"/>
          <w:szCs w:val="20"/>
        </w:rPr>
        <w:t>biogospodarstvo</w:t>
      </w:r>
      <w:proofErr w:type="spellEnd"/>
      <w:r w:rsidRPr="009533BA">
        <w:rPr>
          <w:rFonts w:ascii="Arial" w:hAnsi="Arial" w:cs="Arial"/>
          <w:sz w:val="20"/>
          <w:szCs w:val="20"/>
        </w:rPr>
        <w:t>, modri šport, trajnostni turizem, morski obnovljivi viri energije in robotika. Poleg tega je cilj projekta navdihniti mlada dekleta in strokovnjakinje s spodbujanjem vzornic in inovativnih medijskih formatov, ki prikazujejo poklice v modrem gospodarstvu kot privlačne poklicne možnosti.</w:t>
      </w:r>
    </w:p>
    <w:p w:rsidR="008A633E" w:rsidRPr="00A550E5" w:rsidRDefault="00040115" w:rsidP="009533BA">
      <w:pPr>
        <w:jc w:val="both"/>
        <w:rPr>
          <w:rFonts w:ascii="Arial" w:hAnsi="Arial" w:cs="Arial"/>
          <w:b/>
          <w:sz w:val="20"/>
          <w:szCs w:val="20"/>
        </w:rPr>
      </w:pPr>
      <w:r w:rsidRPr="00A550E5">
        <w:rPr>
          <w:rFonts w:ascii="Arial" w:hAnsi="Arial" w:cs="Arial"/>
          <w:b/>
          <w:sz w:val="20"/>
          <w:szCs w:val="20"/>
        </w:rPr>
        <w:t xml:space="preserve">Projekt WINBLUE - </w:t>
      </w:r>
      <w:proofErr w:type="spellStart"/>
      <w:r w:rsidRPr="00A550E5">
        <w:rPr>
          <w:rFonts w:ascii="Arial" w:hAnsi="Arial" w:cs="Arial"/>
          <w:b/>
          <w:sz w:val="20"/>
          <w:szCs w:val="20"/>
        </w:rPr>
        <w:t>Empowering</w:t>
      </w:r>
      <w:proofErr w:type="spellEnd"/>
      <w:r w:rsidRPr="00A550E5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A550E5">
        <w:rPr>
          <w:rFonts w:ascii="Arial" w:hAnsi="Arial" w:cs="Arial"/>
          <w:b/>
          <w:sz w:val="20"/>
          <w:szCs w:val="20"/>
        </w:rPr>
        <w:t>Women</w:t>
      </w:r>
      <w:proofErr w:type="spellEnd"/>
      <w:r w:rsidRPr="00A550E5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A550E5">
        <w:rPr>
          <w:rFonts w:ascii="Arial" w:hAnsi="Arial" w:cs="Arial"/>
          <w:b/>
          <w:sz w:val="20"/>
          <w:szCs w:val="20"/>
        </w:rPr>
        <w:t>and</w:t>
      </w:r>
      <w:proofErr w:type="spellEnd"/>
      <w:r w:rsidRPr="00A550E5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A550E5">
        <w:rPr>
          <w:rFonts w:ascii="Arial" w:hAnsi="Arial" w:cs="Arial"/>
          <w:b/>
          <w:sz w:val="20"/>
          <w:szCs w:val="20"/>
        </w:rPr>
        <w:t>Mainstreaming</w:t>
      </w:r>
      <w:proofErr w:type="spellEnd"/>
      <w:r w:rsidRPr="00A550E5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A550E5">
        <w:rPr>
          <w:rFonts w:ascii="Arial" w:hAnsi="Arial" w:cs="Arial"/>
          <w:b/>
          <w:sz w:val="20"/>
          <w:szCs w:val="20"/>
        </w:rPr>
        <w:t>Gender</w:t>
      </w:r>
      <w:proofErr w:type="spellEnd"/>
      <w:r w:rsidRPr="00A550E5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A550E5">
        <w:rPr>
          <w:rFonts w:ascii="Arial" w:hAnsi="Arial" w:cs="Arial"/>
          <w:b/>
          <w:sz w:val="20"/>
          <w:szCs w:val="20"/>
        </w:rPr>
        <w:t>Equality</w:t>
      </w:r>
      <w:proofErr w:type="spellEnd"/>
      <w:r w:rsidRPr="00A550E5">
        <w:rPr>
          <w:rFonts w:ascii="Arial" w:hAnsi="Arial" w:cs="Arial"/>
          <w:b/>
          <w:sz w:val="20"/>
          <w:szCs w:val="20"/>
        </w:rPr>
        <w:t xml:space="preserve"> in </w:t>
      </w:r>
      <w:proofErr w:type="spellStart"/>
      <w:r w:rsidRPr="00A550E5">
        <w:rPr>
          <w:rFonts w:ascii="Arial" w:hAnsi="Arial" w:cs="Arial"/>
          <w:b/>
          <w:sz w:val="20"/>
          <w:szCs w:val="20"/>
        </w:rPr>
        <w:t>the</w:t>
      </w:r>
      <w:proofErr w:type="spellEnd"/>
      <w:r w:rsidRPr="00A550E5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A550E5">
        <w:rPr>
          <w:rFonts w:ascii="Arial" w:hAnsi="Arial" w:cs="Arial"/>
          <w:b/>
          <w:sz w:val="20"/>
          <w:szCs w:val="20"/>
        </w:rPr>
        <w:t>Blue</w:t>
      </w:r>
      <w:proofErr w:type="spellEnd"/>
      <w:r w:rsidRPr="00A550E5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A550E5">
        <w:rPr>
          <w:rFonts w:ascii="Arial" w:hAnsi="Arial" w:cs="Arial"/>
          <w:b/>
          <w:sz w:val="20"/>
          <w:szCs w:val="20"/>
        </w:rPr>
        <w:t>Economy</w:t>
      </w:r>
      <w:proofErr w:type="spellEnd"/>
    </w:p>
    <w:p w:rsidR="00040115" w:rsidRPr="009533BA" w:rsidRDefault="00040115" w:rsidP="009533BA">
      <w:pPr>
        <w:jc w:val="both"/>
        <w:rPr>
          <w:rFonts w:ascii="Arial" w:hAnsi="Arial" w:cs="Arial"/>
          <w:sz w:val="20"/>
          <w:szCs w:val="20"/>
        </w:rPr>
      </w:pPr>
      <w:r w:rsidRPr="009533BA">
        <w:rPr>
          <w:rFonts w:ascii="Arial" w:hAnsi="Arial" w:cs="Arial"/>
          <w:sz w:val="20"/>
          <w:szCs w:val="20"/>
        </w:rPr>
        <w:t xml:space="preserve">Cilj projekta WINBLUE je </w:t>
      </w:r>
      <w:proofErr w:type="spellStart"/>
      <w:r w:rsidRPr="009533BA">
        <w:rPr>
          <w:rFonts w:ascii="Arial" w:hAnsi="Arial" w:cs="Arial"/>
          <w:sz w:val="20"/>
          <w:szCs w:val="20"/>
        </w:rPr>
        <w:t>opolnomočiti</w:t>
      </w:r>
      <w:proofErr w:type="spellEnd"/>
      <w:r w:rsidRPr="009533BA">
        <w:rPr>
          <w:rFonts w:ascii="Arial" w:hAnsi="Arial" w:cs="Arial"/>
          <w:sz w:val="20"/>
          <w:szCs w:val="20"/>
        </w:rPr>
        <w:t xml:space="preserve"> ženske v petih različnih sektorjih modrega gospodarstva, ki se osredotočajo na ohranjanje in trajnostno rabo vodnih virov: krožno modro </w:t>
      </w:r>
      <w:proofErr w:type="spellStart"/>
      <w:r w:rsidRPr="009533BA">
        <w:rPr>
          <w:rFonts w:ascii="Arial" w:hAnsi="Arial" w:cs="Arial"/>
          <w:sz w:val="20"/>
          <w:szCs w:val="20"/>
        </w:rPr>
        <w:t>biogospodarstvo</w:t>
      </w:r>
      <w:proofErr w:type="spellEnd"/>
      <w:r w:rsidRPr="009533BA">
        <w:rPr>
          <w:rFonts w:ascii="Arial" w:hAnsi="Arial" w:cs="Arial"/>
          <w:sz w:val="20"/>
          <w:szCs w:val="20"/>
        </w:rPr>
        <w:t xml:space="preserve"> in biotehnologija, akvakultura in ribištvo, obnovljivi viri energije na morju, trajnostni obalni turizem ter vrhunska tehnologija za zaščito in obnovo morskih ekosistemov.</w:t>
      </w:r>
    </w:p>
    <w:p w:rsidR="00040115" w:rsidRPr="009533BA" w:rsidRDefault="00040115" w:rsidP="009533BA">
      <w:pPr>
        <w:jc w:val="both"/>
        <w:rPr>
          <w:rFonts w:ascii="Arial" w:hAnsi="Arial" w:cs="Arial"/>
          <w:sz w:val="20"/>
          <w:szCs w:val="20"/>
        </w:rPr>
      </w:pPr>
      <w:r w:rsidRPr="009533BA">
        <w:rPr>
          <w:rFonts w:ascii="Arial" w:hAnsi="Arial" w:cs="Arial"/>
          <w:sz w:val="20"/>
          <w:szCs w:val="20"/>
        </w:rPr>
        <w:t xml:space="preserve">V okviru projekta bo uporabljen večplasten pristop, vključno z razvojem načrtov za enakost spolov, zagotavljanjem usposabljanja in </w:t>
      </w:r>
      <w:proofErr w:type="spellStart"/>
      <w:r w:rsidRPr="009533BA">
        <w:rPr>
          <w:rFonts w:ascii="Arial" w:hAnsi="Arial" w:cs="Arial"/>
          <w:sz w:val="20"/>
          <w:szCs w:val="20"/>
        </w:rPr>
        <w:t>coachinga</w:t>
      </w:r>
      <w:proofErr w:type="spellEnd"/>
      <w:r w:rsidRPr="009533BA">
        <w:rPr>
          <w:rFonts w:ascii="Arial" w:hAnsi="Arial" w:cs="Arial"/>
          <w:sz w:val="20"/>
          <w:szCs w:val="20"/>
        </w:rPr>
        <w:t xml:space="preserve"> za podjetnice, zbiranjem podatkov za oceno vključenosti spolov ter opredelitvijo uspešnih praks, ki se lahko ponovijo v drugih organizacijah. Cilj je spodbujati enakost spolov ter spodbujati inovacije in konkurenčnost v modrem gospodarstvu.</w:t>
      </w:r>
    </w:p>
    <w:p w:rsidR="00040115" w:rsidRPr="00A550E5" w:rsidRDefault="00040115" w:rsidP="009533BA">
      <w:pPr>
        <w:jc w:val="both"/>
        <w:rPr>
          <w:rFonts w:ascii="Arial" w:hAnsi="Arial" w:cs="Arial"/>
          <w:b/>
          <w:sz w:val="20"/>
          <w:szCs w:val="20"/>
        </w:rPr>
      </w:pPr>
      <w:r w:rsidRPr="00A550E5">
        <w:rPr>
          <w:rFonts w:ascii="Arial" w:hAnsi="Arial" w:cs="Arial"/>
          <w:b/>
          <w:sz w:val="20"/>
          <w:szCs w:val="20"/>
        </w:rPr>
        <w:lastRenderedPageBreak/>
        <w:t>Koristne informacije:</w:t>
      </w:r>
    </w:p>
    <w:p w:rsidR="00040115" w:rsidRPr="00A550E5" w:rsidRDefault="00040115" w:rsidP="00A550E5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A550E5">
        <w:rPr>
          <w:rFonts w:ascii="Arial" w:hAnsi="Arial" w:cs="Arial"/>
          <w:sz w:val="20"/>
          <w:szCs w:val="20"/>
        </w:rPr>
        <w:t>Razpis:</w:t>
      </w:r>
    </w:p>
    <w:p w:rsidR="00040115" w:rsidRPr="00A550E5" w:rsidRDefault="00040115" w:rsidP="00A550E5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6" w:history="1">
        <w:r w:rsidRPr="00A550E5">
          <w:rPr>
            <w:rStyle w:val="Hiperpovezava"/>
            <w:rFonts w:ascii="Arial" w:hAnsi="Arial" w:cs="Arial"/>
            <w:sz w:val="20"/>
            <w:szCs w:val="20"/>
          </w:rPr>
          <w:t>https://cinea.ec.europa.eu/news-events/news/women-blue-economy-call-proposals-now-open-2022-05-17_en</w:t>
        </w:r>
      </w:hyperlink>
    </w:p>
    <w:p w:rsidR="00040115" w:rsidRPr="00A550E5" w:rsidRDefault="00040115" w:rsidP="00A550E5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A550E5">
        <w:rPr>
          <w:rFonts w:ascii="Arial" w:hAnsi="Arial" w:cs="Arial"/>
          <w:sz w:val="20"/>
          <w:szCs w:val="20"/>
        </w:rPr>
        <w:t>Sporočilo o izboru projektov:</w:t>
      </w:r>
    </w:p>
    <w:p w:rsidR="00040115" w:rsidRPr="00A550E5" w:rsidRDefault="00040115" w:rsidP="00A550E5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7" w:history="1">
        <w:r w:rsidRPr="00A550E5">
          <w:rPr>
            <w:rStyle w:val="Hiperpovezava"/>
            <w:rFonts w:ascii="Arial" w:hAnsi="Arial" w:cs="Arial"/>
            <w:sz w:val="20"/>
            <w:szCs w:val="20"/>
          </w:rPr>
          <w:t>https://cinea.ec.europa.eu/news-events/news/women-blue-economy-projects-ready-start-think-big-go-blue-2023-05-02_en</w:t>
        </w:r>
      </w:hyperlink>
    </w:p>
    <w:p w:rsidR="009533BA" w:rsidRPr="00A550E5" w:rsidRDefault="009533BA" w:rsidP="00A550E5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A550E5">
        <w:rPr>
          <w:rFonts w:ascii="Arial" w:hAnsi="Arial" w:cs="Arial"/>
          <w:sz w:val="20"/>
          <w:szCs w:val="20"/>
        </w:rPr>
        <w:t>Delavnica Ženske v modrem gospodarstvu:</w:t>
      </w:r>
    </w:p>
    <w:p w:rsidR="009533BA" w:rsidRPr="00A550E5" w:rsidRDefault="009533BA" w:rsidP="00A550E5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8" w:history="1">
        <w:r w:rsidRPr="00A550E5">
          <w:rPr>
            <w:rStyle w:val="Hiperpovezava"/>
            <w:rFonts w:ascii="Arial" w:hAnsi="Arial" w:cs="Arial"/>
            <w:sz w:val="20"/>
            <w:szCs w:val="20"/>
          </w:rPr>
          <w:t>https://european-maritime-day-2023.b2match.io/components/28058?session=c2Vzc2lvbjoxNDM4Mjc%3D</w:t>
        </w:r>
      </w:hyperlink>
      <w:r w:rsidRPr="00A550E5">
        <w:rPr>
          <w:rFonts w:ascii="Arial" w:hAnsi="Arial" w:cs="Arial"/>
          <w:sz w:val="20"/>
          <w:szCs w:val="20"/>
        </w:rPr>
        <w:t xml:space="preserve"> </w:t>
      </w:r>
    </w:p>
    <w:p w:rsidR="00040115" w:rsidRPr="009533BA" w:rsidRDefault="00040115" w:rsidP="00A550E5">
      <w:pPr>
        <w:spacing w:after="0"/>
        <w:jc w:val="both"/>
        <w:rPr>
          <w:rFonts w:ascii="Arial" w:hAnsi="Arial" w:cs="Arial"/>
          <w:sz w:val="20"/>
          <w:szCs w:val="20"/>
        </w:rPr>
      </w:pPr>
      <w:r w:rsidRPr="009533BA">
        <w:rPr>
          <w:rFonts w:ascii="Arial" w:hAnsi="Arial" w:cs="Arial"/>
          <w:sz w:val="20"/>
          <w:szCs w:val="20"/>
        </w:rPr>
        <w:t>Pripravila:</w:t>
      </w:r>
    </w:p>
    <w:p w:rsidR="00040115" w:rsidRPr="009533BA" w:rsidRDefault="00040115" w:rsidP="00A550E5">
      <w:pPr>
        <w:spacing w:after="0"/>
        <w:jc w:val="both"/>
        <w:rPr>
          <w:rFonts w:ascii="Arial" w:hAnsi="Arial" w:cs="Arial"/>
          <w:sz w:val="20"/>
          <w:szCs w:val="20"/>
        </w:rPr>
      </w:pPr>
      <w:r w:rsidRPr="009533BA">
        <w:rPr>
          <w:rFonts w:ascii="Arial" w:hAnsi="Arial" w:cs="Arial"/>
          <w:sz w:val="20"/>
          <w:szCs w:val="20"/>
        </w:rPr>
        <w:t>Darja Kocbek</w:t>
      </w:r>
    </w:p>
    <w:sectPr w:rsidR="00040115" w:rsidRPr="009533BA" w:rsidSect="002333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F04E9E"/>
    <w:multiLevelType w:val="hybridMultilevel"/>
    <w:tmpl w:val="6F709C9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318A5"/>
    <w:rsid w:val="00040115"/>
    <w:rsid w:val="00233362"/>
    <w:rsid w:val="004318A5"/>
    <w:rsid w:val="004C064D"/>
    <w:rsid w:val="008A633E"/>
    <w:rsid w:val="009533BA"/>
    <w:rsid w:val="00A550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233362"/>
  </w:style>
  <w:style w:type="paragraph" w:styleId="Naslov2">
    <w:name w:val="heading 2"/>
    <w:basedOn w:val="Navaden"/>
    <w:link w:val="Naslov2Znak"/>
    <w:uiPriority w:val="9"/>
    <w:qFormat/>
    <w:rsid w:val="004C064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Krepko">
    <w:name w:val="Strong"/>
    <w:basedOn w:val="Privzetapisavaodstavka"/>
    <w:uiPriority w:val="22"/>
    <w:qFormat/>
    <w:rsid w:val="008A633E"/>
    <w:rPr>
      <w:b/>
      <w:bCs/>
    </w:rPr>
  </w:style>
  <w:style w:type="character" w:styleId="Hiperpovezava">
    <w:name w:val="Hyperlink"/>
    <w:basedOn w:val="Privzetapisavaodstavka"/>
    <w:uiPriority w:val="99"/>
    <w:unhideWhenUsed/>
    <w:rsid w:val="00040115"/>
    <w:rPr>
      <w:color w:val="0000FF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A550E5"/>
    <w:pPr>
      <w:ind w:left="720"/>
      <w:contextualSpacing/>
    </w:pPr>
  </w:style>
  <w:style w:type="character" w:customStyle="1" w:styleId="Naslov2Znak">
    <w:name w:val="Naslov 2 Znak"/>
    <w:basedOn w:val="Privzetapisavaodstavka"/>
    <w:link w:val="Naslov2"/>
    <w:uiPriority w:val="9"/>
    <w:rsid w:val="004C064D"/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4C06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C064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opean-maritime-day-2023.b2match.io/components/28058?session=c2Vzc2lvbjoxNDM4Mjc%3D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inea.ec.europa.eu/news-events/news/women-blue-economy-projects-ready-start-think-big-go-blue-2023-05-02_e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inea.ec.europa.eu/news-events/news/women-blue-economy-call-proposals-now-open-2022-05-17_en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495</Words>
  <Characters>2827</Characters>
  <Application>Microsoft Office Word</Application>
  <DocSecurity>0</DocSecurity>
  <Lines>23</Lines>
  <Paragraphs>6</Paragraphs>
  <ScaleCrop>false</ScaleCrop>
  <Company>HP</Company>
  <LinksUpToDate>false</LinksUpToDate>
  <CharactersWithSpaces>3316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6</cp:revision>
  <dcterms:created xsi:type="dcterms:W3CDTF">2023-05-04T07:34:00Z</dcterms:created>
  <dcterms:modified xsi:type="dcterms:W3CDTF">2023-05-04T07:51:00Z</dcterms:modified>
</cp:coreProperties>
</file>