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07" w:rsidRPr="00F973D8" w:rsidRDefault="004D0F07" w:rsidP="004D0F07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F07" w:rsidRPr="00F973D8" w:rsidRDefault="004D0F07" w:rsidP="004D0F07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4D0F07" w:rsidRPr="00F973D8" w:rsidRDefault="004D0F07" w:rsidP="004D0F0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D0F07" w:rsidRPr="000C7077" w:rsidRDefault="004D0F07" w:rsidP="004D0F07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0C7077">
        <w:rPr>
          <w:rFonts w:ascii="Arial" w:hAnsi="Arial" w:cs="Arial"/>
          <w:b/>
        </w:rPr>
        <w:t xml:space="preserve">Občasna informacija članom </w:t>
      </w:r>
      <w:r w:rsidR="00064611">
        <w:rPr>
          <w:rFonts w:ascii="Arial" w:hAnsi="Arial" w:cs="Arial"/>
          <w:b/>
        </w:rPr>
        <w:t>78</w:t>
      </w:r>
      <w:bookmarkStart w:id="0" w:name="_GoBack"/>
      <w:bookmarkEnd w:id="0"/>
      <w:r w:rsidRPr="000C7077">
        <w:rPr>
          <w:rFonts w:ascii="Arial" w:hAnsi="Arial" w:cs="Arial"/>
          <w:b/>
        </w:rPr>
        <w:t xml:space="preserve"> – 2018</w:t>
      </w:r>
    </w:p>
    <w:p w:rsidR="004D0F07" w:rsidRPr="000C7077" w:rsidRDefault="004D0F07" w:rsidP="004D0F07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Pr="000C707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maj</w:t>
      </w:r>
      <w:r w:rsidRPr="000C7077">
        <w:rPr>
          <w:rFonts w:ascii="Arial" w:hAnsi="Arial" w:cs="Arial"/>
          <w:b/>
        </w:rPr>
        <w:t xml:space="preserve"> 2018</w:t>
      </w:r>
    </w:p>
    <w:p w:rsidR="004D0F07" w:rsidRDefault="004D0F07" w:rsidP="004D0F0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Zgledni inovativni projekti s področja gospodarstva sivolasih (Silver Economy)</w:t>
      </w:r>
    </w:p>
    <w:p w:rsidR="008E66ED" w:rsidRPr="0035344E" w:rsidRDefault="008E66ED" w:rsidP="0035344E">
      <w:pPr>
        <w:rPr>
          <w:rFonts w:ascii="Arial" w:hAnsi="Arial" w:cs="Arial"/>
          <w:b/>
          <w:i/>
        </w:rPr>
      </w:pPr>
      <w:r w:rsidRPr="0035344E">
        <w:rPr>
          <w:rFonts w:ascii="Arial" w:hAnsi="Arial" w:cs="Arial"/>
          <w:b/>
          <w:i/>
        </w:rPr>
        <w:t xml:space="preserve">Evropska komisija je podelila prve nagrade za inovativne projekte s področja gospodarstva sivolasih (Silver Economy). Dobitniki prvih nagrad v treh kategorijah so </w:t>
      </w:r>
      <w:r w:rsidR="00B474CF">
        <w:rPr>
          <w:rFonts w:ascii="Arial" w:hAnsi="Arial" w:cs="Arial"/>
          <w:b/>
          <w:i/>
        </w:rPr>
        <w:t xml:space="preserve">danska </w:t>
      </w:r>
      <w:r w:rsidRPr="0035344E">
        <w:rPr>
          <w:rFonts w:ascii="Arial" w:hAnsi="Arial" w:cs="Arial"/>
          <w:b/>
          <w:i/>
        </w:rPr>
        <w:t xml:space="preserve">platforma za telemedicino, orodje za preprečevanje </w:t>
      </w:r>
      <w:r w:rsidR="00B474CF">
        <w:rPr>
          <w:rFonts w:ascii="Arial" w:hAnsi="Arial" w:cs="Arial"/>
          <w:b/>
          <w:i/>
        </w:rPr>
        <w:t xml:space="preserve">in zaznavanje </w:t>
      </w:r>
      <w:r w:rsidRPr="0035344E">
        <w:rPr>
          <w:rFonts w:ascii="Arial" w:hAnsi="Arial" w:cs="Arial"/>
          <w:b/>
          <w:i/>
        </w:rPr>
        <w:t>padcev starejših (GoLive) in pametni telefon</w:t>
      </w:r>
      <w:r w:rsidR="00B474CF">
        <w:rPr>
          <w:rFonts w:ascii="Arial" w:hAnsi="Arial" w:cs="Arial"/>
          <w:b/>
          <w:i/>
        </w:rPr>
        <w:t xml:space="preserve"> za slepe</w:t>
      </w:r>
      <w:r w:rsidRPr="0035344E">
        <w:rPr>
          <w:rFonts w:ascii="Arial" w:hAnsi="Arial" w:cs="Arial"/>
          <w:b/>
          <w:i/>
        </w:rPr>
        <w:t xml:space="preserve"> (RAY). Vseh nagrajencev je devet. </w:t>
      </w:r>
      <w:r w:rsidR="00B474CF">
        <w:rPr>
          <w:rFonts w:ascii="Arial" w:hAnsi="Arial" w:cs="Arial"/>
          <w:b/>
          <w:i/>
        </w:rPr>
        <w:t>Iz Slovenije se je za nagrado v kategoriji javnih organizacij potegoval javni zavod Kinodvor iz Ljubljane. Nagrajeni projekti</w:t>
      </w:r>
      <w:r w:rsidRPr="0035344E">
        <w:rPr>
          <w:rFonts w:ascii="Arial" w:hAnsi="Arial" w:cs="Arial"/>
          <w:b/>
          <w:i/>
        </w:rPr>
        <w:t xml:space="preserve"> so zgledni projekti za področje gospodarstva sivolasih, za kakršne bo Evropska komisija v prihodnje zagotavljala finančno podporo.</w:t>
      </w:r>
      <w:r w:rsidR="00601C3A" w:rsidRPr="0035344E">
        <w:rPr>
          <w:rFonts w:ascii="Arial" w:hAnsi="Arial" w:cs="Arial"/>
          <w:b/>
          <w:i/>
        </w:rPr>
        <w:t xml:space="preserve"> Člani lahko dobijo podrobnejše informacije na SBRA.</w:t>
      </w:r>
    </w:p>
    <w:p w:rsidR="008E66ED" w:rsidRPr="0035344E" w:rsidRDefault="008E66ED" w:rsidP="0035344E">
      <w:pPr>
        <w:rPr>
          <w:rFonts w:ascii="Arial" w:hAnsi="Arial" w:cs="Arial"/>
          <w:sz w:val="20"/>
          <w:szCs w:val="20"/>
        </w:rPr>
      </w:pPr>
      <w:r w:rsidRPr="0035344E">
        <w:rPr>
          <w:rFonts w:ascii="Arial" w:hAnsi="Arial" w:cs="Arial"/>
          <w:sz w:val="20"/>
          <w:szCs w:val="20"/>
        </w:rPr>
        <w:t>Evropska komisija pojasnjuje, da so nagrajenci razvili inovativne rešitve za izboljšanje kakovosti življenja ljudi, ki so starejši od 50 let. Njihove inova</w:t>
      </w:r>
      <w:r w:rsidR="004E69B5" w:rsidRPr="0035344E">
        <w:rPr>
          <w:rFonts w:ascii="Arial" w:hAnsi="Arial" w:cs="Arial"/>
          <w:sz w:val="20"/>
          <w:szCs w:val="20"/>
        </w:rPr>
        <w:t>cije so opozorilo, kako pomembno je gospodarstvo sivolasih, ki vključuje vse gospodarske dejavnosti, ki so povezane s starejšimi, njihovimi željami in potrebami.</w:t>
      </w:r>
    </w:p>
    <w:p w:rsidR="00601C3A" w:rsidRPr="0035344E" w:rsidRDefault="004E69B5" w:rsidP="0035344E">
      <w:pPr>
        <w:rPr>
          <w:rFonts w:ascii="Arial" w:hAnsi="Arial" w:cs="Arial"/>
          <w:sz w:val="20"/>
          <w:szCs w:val="20"/>
        </w:rPr>
      </w:pPr>
      <w:r w:rsidRPr="0035344E">
        <w:rPr>
          <w:rFonts w:ascii="Arial" w:hAnsi="Arial" w:cs="Arial"/>
          <w:sz w:val="20"/>
          <w:szCs w:val="20"/>
        </w:rPr>
        <w:t>Evropska komisija pričakuje, da bo za naslednji poziv dobila še več novih in presenetljiv</w:t>
      </w:r>
      <w:r w:rsidR="00335AD6">
        <w:rPr>
          <w:rFonts w:ascii="Arial" w:hAnsi="Arial" w:cs="Arial"/>
          <w:sz w:val="20"/>
          <w:szCs w:val="20"/>
        </w:rPr>
        <w:t>ih inovacij s področja od zdrav</w:t>
      </w:r>
      <w:r w:rsidRPr="0035344E">
        <w:rPr>
          <w:rFonts w:ascii="Arial" w:hAnsi="Arial" w:cs="Arial"/>
          <w:sz w:val="20"/>
          <w:szCs w:val="20"/>
        </w:rPr>
        <w:t xml:space="preserve">ja in oblikovanja do izobraževanja in turizma. Nagrade za gospodarstvo sivolasih podeljuje v okviru projekta SEED, ki promovira </w:t>
      </w:r>
      <w:r w:rsidR="00601C3A" w:rsidRPr="0035344E">
        <w:rPr>
          <w:rFonts w:ascii="Arial" w:hAnsi="Arial" w:cs="Arial"/>
          <w:sz w:val="20"/>
          <w:szCs w:val="20"/>
        </w:rPr>
        <w:t xml:space="preserve">inovativne </w:t>
      </w:r>
      <w:r w:rsidRPr="0035344E">
        <w:rPr>
          <w:rFonts w:ascii="Arial" w:hAnsi="Arial" w:cs="Arial"/>
          <w:sz w:val="20"/>
          <w:szCs w:val="20"/>
        </w:rPr>
        <w:t xml:space="preserve">izdelke in storitve </w:t>
      </w:r>
      <w:r w:rsidR="00601C3A" w:rsidRPr="0035344E">
        <w:rPr>
          <w:rFonts w:ascii="Arial" w:hAnsi="Arial" w:cs="Arial"/>
          <w:sz w:val="20"/>
          <w:szCs w:val="20"/>
        </w:rPr>
        <w:t>s področja informacijsko-komunikacijske tehnologije na vseh področjih, ki pripomorejo k izboljšanju kakovosti življenja starejših.</w:t>
      </w:r>
      <w:r w:rsidR="004D0F07">
        <w:rPr>
          <w:rFonts w:ascii="Arial" w:hAnsi="Arial" w:cs="Arial"/>
          <w:sz w:val="20"/>
          <w:szCs w:val="20"/>
        </w:rPr>
        <w:t xml:space="preserve"> </w:t>
      </w:r>
    </w:p>
    <w:p w:rsidR="00601C3A" w:rsidRPr="00BA1B0E" w:rsidRDefault="00601C3A" w:rsidP="0035344E">
      <w:pPr>
        <w:rPr>
          <w:rFonts w:ascii="Arial" w:hAnsi="Arial" w:cs="Arial"/>
          <w:b/>
          <w:sz w:val="20"/>
          <w:szCs w:val="20"/>
        </w:rPr>
      </w:pPr>
      <w:r w:rsidRPr="00BA1B0E">
        <w:rPr>
          <w:rFonts w:ascii="Arial" w:hAnsi="Arial" w:cs="Arial"/>
          <w:b/>
          <w:sz w:val="20"/>
          <w:szCs w:val="20"/>
        </w:rPr>
        <w:t>Koristne informacije:</w:t>
      </w:r>
    </w:p>
    <w:p w:rsidR="00601C3A" w:rsidRPr="004D0F07" w:rsidRDefault="00601C3A" w:rsidP="004D0F0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0F07">
        <w:rPr>
          <w:rFonts w:ascii="Arial" w:hAnsi="Arial" w:cs="Arial"/>
          <w:sz w:val="20"/>
          <w:szCs w:val="20"/>
        </w:rPr>
        <w:t>Spletna stran o nagradah s področja gospodarstva sivolasih:</w:t>
      </w:r>
    </w:p>
    <w:p w:rsidR="00601C3A" w:rsidRPr="004D0F07" w:rsidRDefault="00064611" w:rsidP="004D0F0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601C3A" w:rsidRPr="004D0F07">
          <w:rPr>
            <w:rStyle w:val="Hyperlink"/>
            <w:rFonts w:ascii="Arial" w:hAnsi="Arial" w:cs="Arial"/>
            <w:sz w:val="20"/>
            <w:szCs w:val="20"/>
          </w:rPr>
          <w:t>http://silvereconomyawards.eu/</w:t>
        </w:r>
      </w:hyperlink>
    </w:p>
    <w:p w:rsidR="00601C3A" w:rsidRPr="004D0F07" w:rsidRDefault="00601C3A" w:rsidP="004D0F0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0F07">
        <w:rPr>
          <w:rFonts w:ascii="Arial" w:hAnsi="Arial" w:cs="Arial"/>
          <w:sz w:val="20"/>
          <w:szCs w:val="20"/>
        </w:rPr>
        <w:t>Spletna stran danskega projekta The Generic Telemedicine Platform:</w:t>
      </w:r>
    </w:p>
    <w:p w:rsidR="00601C3A" w:rsidRPr="004D0F07" w:rsidRDefault="00064611" w:rsidP="004D0F0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601C3A" w:rsidRPr="004D0F07">
          <w:rPr>
            <w:rStyle w:val="Hyperlink"/>
            <w:rFonts w:ascii="Arial" w:hAnsi="Arial" w:cs="Arial"/>
            <w:sz w:val="20"/>
            <w:szCs w:val="20"/>
          </w:rPr>
          <w:t>https://www.syddansksundhedsinnovation.dk/service-menu/english</w:t>
        </w:r>
      </w:hyperlink>
    </w:p>
    <w:p w:rsidR="00601C3A" w:rsidRPr="004D0F07" w:rsidRDefault="00601C3A" w:rsidP="004D0F0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0F07">
        <w:rPr>
          <w:rFonts w:ascii="Arial" w:hAnsi="Arial" w:cs="Arial"/>
          <w:sz w:val="20"/>
          <w:szCs w:val="20"/>
        </w:rPr>
        <w:t>Spletna stran projekta GoLive:</w:t>
      </w:r>
    </w:p>
    <w:p w:rsidR="00601C3A" w:rsidRPr="004D0F07" w:rsidRDefault="00064611" w:rsidP="004D0F0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="00601C3A" w:rsidRPr="004D0F07">
          <w:rPr>
            <w:rStyle w:val="Hyperlink"/>
            <w:rFonts w:ascii="Arial" w:hAnsi="Arial" w:cs="Arial"/>
            <w:sz w:val="20"/>
            <w:szCs w:val="20"/>
          </w:rPr>
          <w:t>https://www.fraunhofer.pt/en/fraunhofer_portugal/news/news_archive/market-introduction-of-golive-solutions-.html</w:t>
        </w:r>
      </w:hyperlink>
    </w:p>
    <w:p w:rsidR="00601C3A" w:rsidRPr="004D0F07" w:rsidRDefault="00601C3A" w:rsidP="004D0F0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0F07">
        <w:rPr>
          <w:rFonts w:ascii="Arial" w:hAnsi="Arial" w:cs="Arial"/>
          <w:sz w:val="20"/>
          <w:szCs w:val="20"/>
        </w:rPr>
        <w:t>Spletna stran projekta RAY:</w:t>
      </w:r>
    </w:p>
    <w:p w:rsidR="00601C3A" w:rsidRPr="004D0F07" w:rsidRDefault="00064611" w:rsidP="004D0F0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0" w:history="1">
        <w:r w:rsidR="00601C3A" w:rsidRPr="004D0F07">
          <w:rPr>
            <w:rStyle w:val="Hyperlink"/>
            <w:rFonts w:ascii="Arial" w:hAnsi="Arial" w:cs="Arial"/>
            <w:sz w:val="20"/>
            <w:szCs w:val="20"/>
          </w:rPr>
          <w:t>http://project-ray.com/</w:t>
        </w:r>
      </w:hyperlink>
    </w:p>
    <w:p w:rsidR="00BA1B0E" w:rsidRPr="004D0F07" w:rsidRDefault="00BA1B0E" w:rsidP="004D0F0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0F07">
        <w:rPr>
          <w:rFonts w:ascii="Arial" w:hAnsi="Arial" w:cs="Arial"/>
          <w:sz w:val="20"/>
          <w:szCs w:val="20"/>
        </w:rPr>
        <w:t>Spletna stran z informacijami o študiji o gospodarstvu sivolasih:</w:t>
      </w:r>
    </w:p>
    <w:p w:rsidR="00BA1B0E" w:rsidRPr="004D0F07" w:rsidRDefault="00064611" w:rsidP="004D0F0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1" w:history="1">
        <w:r w:rsidR="00BA1B0E" w:rsidRPr="004D0F07">
          <w:rPr>
            <w:rStyle w:val="Hyperlink"/>
            <w:rFonts w:ascii="Arial" w:hAnsi="Arial" w:cs="Arial"/>
            <w:sz w:val="20"/>
            <w:szCs w:val="20"/>
          </w:rPr>
          <w:t>https://ec.europa.eu/digital-single-market/en/news/silver-economy-study-how-stimulate-economy-hundreds-millions-euros-year</w:t>
        </w:r>
      </w:hyperlink>
      <w:r w:rsidR="00BA1B0E" w:rsidRPr="004D0F07">
        <w:rPr>
          <w:rFonts w:ascii="Arial" w:hAnsi="Arial" w:cs="Arial"/>
          <w:sz w:val="20"/>
          <w:szCs w:val="20"/>
        </w:rPr>
        <w:t xml:space="preserve"> </w:t>
      </w:r>
    </w:p>
    <w:p w:rsidR="00601C3A" w:rsidRPr="0035344E" w:rsidRDefault="00601C3A" w:rsidP="0035344E">
      <w:pPr>
        <w:rPr>
          <w:rFonts w:ascii="Arial" w:hAnsi="Arial" w:cs="Arial"/>
          <w:sz w:val="20"/>
          <w:szCs w:val="20"/>
        </w:rPr>
      </w:pPr>
      <w:r w:rsidRPr="0035344E">
        <w:rPr>
          <w:rFonts w:ascii="Arial" w:hAnsi="Arial" w:cs="Arial"/>
          <w:sz w:val="20"/>
          <w:szCs w:val="20"/>
        </w:rPr>
        <w:t>Pripravila:</w:t>
      </w:r>
      <w:r w:rsidR="004D0F07">
        <w:rPr>
          <w:rFonts w:ascii="Arial" w:hAnsi="Arial" w:cs="Arial"/>
          <w:sz w:val="20"/>
          <w:szCs w:val="20"/>
        </w:rPr>
        <w:t xml:space="preserve"> </w:t>
      </w:r>
      <w:r w:rsidRPr="0035344E">
        <w:rPr>
          <w:rFonts w:ascii="Arial" w:hAnsi="Arial" w:cs="Arial"/>
          <w:sz w:val="20"/>
          <w:szCs w:val="20"/>
        </w:rPr>
        <w:t>Darja Kocbek</w:t>
      </w:r>
    </w:p>
    <w:p w:rsidR="00B459D4" w:rsidRDefault="008E66ED">
      <w:r>
        <w:lastRenderedPageBreak/>
        <w:t xml:space="preserve"> </w:t>
      </w:r>
    </w:p>
    <w:sectPr w:rsidR="00B459D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504C0"/>
    <w:multiLevelType w:val="hybridMultilevel"/>
    <w:tmpl w:val="DA3001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66ED"/>
    <w:rsid w:val="00064611"/>
    <w:rsid w:val="00335AD6"/>
    <w:rsid w:val="0035344E"/>
    <w:rsid w:val="004D0F07"/>
    <w:rsid w:val="004E69B5"/>
    <w:rsid w:val="00601C3A"/>
    <w:rsid w:val="008E66ED"/>
    <w:rsid w:val="00B459D4"/>
    <w:rsid w:val="00B474CF"/>
    <w:rsid w:val="00BA1B0E"/>
    <w:rsid w:val="00EA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F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C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0F0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D0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D0F07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F0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ddansksundhedsinnovation.dk/service-menu/englis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ilvereconomyawards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c.europa.eu/digital-single-market/en/news/silver-economy-study-how-stimulate-economy-hundreds-millions-euros-ye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oject-ra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aunhofer.pt/en/fraunhofer_portugal/news/news_archive/market-introduction-of-golive-solutions-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6</cp:revision>
  <dcterms:created xsi:type="dcterms:W3CDTF">2018-05-09T18:30:00Z</dcterms:created>
  <dcterms:modified xsi:type="dcterms:W3CDTF">2018-05-11T08:40:00Z</dcterms:modified>
</cp:coreProperties>
</file>