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45A" w:rsidRPr="00467345" w:rsidRDefault="00DE645A" w:rsidP="00DE645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E645A" w:rsidRPr="00083714" w:rsidRDefault="00DE645A" w:rsidP="00DE645A">
      <w:pPr>
        <w:pStyle w:val="Naslov2"/>
        <w:tabs>
          <w:tab w:val="left" w:pos="3120"/>
        </w:tabs>
        <w:spacing w:before="0"/>
        <w:jc w:val="center"/>
        <w:rPr>
          <w:b w:val="0"/>
          <w:bCs w:val="0"/>
          <w:i/>
          <w:iCs/>
          <w:sz w:val="22"/>
        </w:rPr>
      </w:pPr>
      <w:r w:rsidRPr="00083714">
        <w:rPr>
          <w:sz w:val="22"/>
        </w:rPr>
        <w:t>Slovensko gospodarsko in raziskovalno združenje, Bruselj</w:t>
      </w:r>
    </w:p>
    <w:p w:rsidR="00DE645A" w:rsidRPr="00083714" w:rsidRDefault="00DE645A" w:rsidP="00DE645A">
      <w:pPr>
        <w:pBdr>
          <w:bottom w:val="single" w:sz="6" w:space="1" w:color="auto"/>
        </w:pBdr>
        <w:tabs>
          <w:tab w:val="left" w:pos="3120"/>
        </w:tabs>
        <w:jc w:val="center"/>
        <w:rPr>
          <w:sz w:val="16"/>
          <w:szCs w:val="16"/>
        </w:rPr>
      </w:pPr>
    </w:p>
    <w:p w:rsidR="00DE645A" w:rsidRDefault="00DE645A" w:rsidP="00DE645A">
      <w:pPr>
        <w:tabs>
          <w:tab w:val="left" w:pos="3120"/>
        </w:tabs>
        <w:rPr>
          <w:b/>
        </w:rPr>
      </w:pPr>
      <w:r w:rsidRPr="00083714">
        <w:rPr>
          <w:b/>
        </w:rPr>
        <w:tab/>
      </w:r>
      <w:r>
        <w:rPr>
          <w:b/>
        </w:rPr>
        <w:t>Občasna informacija članom 76</w:t>
      </w:r>
      <w:r w:rsidRPr="00083714">
        <w:rPr>
          <w:b/>
        </w:rPr>
        <w:t xml:space="preserve"> – 20</w:t>
      </w:r>
      <w:r>
        <w:rPr>
          <w:b/>
        </w:rPr>
        <w:t>21</w:t>
      </w:r>
    </w:p>
    <w:p w:rsidR="00DE645A" w:rsidRPr="00050C1F" w:rsidRDefault="00DE645A" w:rsidP="00DE645A">
      <w:pPr>
        <w:tabs>
          <w:tab w:val="left" w:pos="3120"/>
        </w:tabs>
        <w:jc w:val="center"/>
        <w:rPr>
          <w:b/>
        </w:rPr>
      </w:pPr>
      <w:r>
        <w:rPr>
          <w:b/>
        </w:rPr>
        <w:t xml:space="preserve">10. maj </w:t>
      </w:r>
      <w:r w:rsidRPr="00083714">
        <w:rPr>
          <w:b/>
        </w:rPr>
        <w:t xml:space="preserve"> 20</w:t>
      </w:r>
      <w:r>
        <w:rPr>
          <w:b/>
        </w:rPr>
        <w:t>21</w:t>
      </w:r>
    </w:p>
    <w:p w:rsidR="00345693" w:rsidRDefault="00DE645A" w:rsidP="00DE645A">
      <w:pPr>
        <w:jc w:val="center"/>
        <w:rPr>
          <w:rFonts w:ascii="Arial" w:hAnsi="Arial" w:cs="Arial"/>
          <w:b/>
          <w:i/>
        </w:rPr>
      </w:pPr>
      <w:r>
        <w:rPr>
          <w:b/>
          <w:color w:val="993300"/>
          <w:sz w:val="32"/>
          <w:szCs w:val="32"/>
        </w:rPr>
        <w:t>Evropska komisija je posodobila industrijsko strategijo EU</w:t>
      </w:r>
    </w:p>
    <w:p w:rsidR="000F7201" w:rsidRPr="005573CA" w:rsidRDefault="008A7E16" w:rsidP="005573CA">
      <w:pPr>
        <w:jc w:val="both"/>
        <w:rPr>
          <w:rFonts w:ascii="Arial" w:hAnsi="Arial" w:cs="Arial"/>
          <w:b/>
          <w:i/>
        </w:rPr>
      </w:pPr>
      <w:r w:rsidRPr="005573CA">
        <w:rPr>
          <w:rFonts w:ascii="Arial" w:hAnsi="Arial" w:cs="Arial"/>
          <w:b/>
          <w:i/>
        </w:rPr>
        <w:t>Evropska komisija je posodobila industrijsko strategijo EU. V njej predlaga nove ukrepe za okrepitev odpornosti enotnega trga, zlasti v kriznih časih. Poleg tega izpostavlja potrebo po boljšem razumevanju odvisnosti na ključnih strateških področjih in predstavlja nabor orodij za njihovo obravnavo, vsebuje pa tudi nove ukrepe za pospešitev zelenega in digitalnega prehoda. Komisija je sprejela tudi predlog uredbe o tujih subvencijah, ki izkrivljajo enotni trg, ki bo po njeni oceni ključna za uresničevanje industrijske strategije EU. Člani lahko dobijo več informacij na SBRA.</w:t>
      </w:r>
    </w:p>
    <w:p w:rsidR="008A7E16" w:rsidRPr="005573CA" w:rsidRDefault="003A1449" w:rsidP="005573CA">
      <w:pPr>
        <w:jc w:val="both"/>
        <w:rPr>
          <w:rFonts w:ascii="Arial" w:hAnsi="Arial" w:cs="Arial"/>
          <w:sz w:val="20"/>
          <w:szCs w:val="20"/>
        </w:rPr>
      </w:pPr>
      <w:r w:rsidRPr="005573CA">
        <w:rPr>
          <w:rFonts w:ascii="Arial" w:hAnsi="Arial" w:cs="Arial"/>
          <w:sz w:val="20"/>
          <w:szCs w:val="20"/>
        </w:rPr>
        <w:t xml:space="preserve">Ukrepi za pospešitev zelenega in digitalnega prehoda so štirje. Prvi je soustvarjanje poti prehoda v partnerstvu z industrijo, javnimi organi, socialnimi partnerji in drugimi deležniki, kjer je to potrebno, najprej v turizmu in energetsko intenzivnih industrijah. Drugi je priprava skladnega </w:t>
      </w:r>
      <w:proofErr w:type="spellStart"/>
      <w:r w:rsidRPr="005573CA">
        <w:rPr>
          <w:rFonts w:ascii="Arial" w:hAnsi="Arial" w:cs="Arial"/>
          <w:sz w:val="20"/>
          <w:szCs w:val="20"/>
        </w:rPr>
        <w:t>regulativnega</w:t>
      </w:r>
      <w:proofErr w:type="spellEnd"/>
      <w:r w:rsidRPr="005573CA">
        <w:rPr>
          <w:rFonts w:ascii="Arial" w:hAnsi="Arial" w:cs="Arial"/>
          <w:sz w:val="20"/>
          <w:szCs w:val="20"/>
        </w:rPr>
        <w:t xml:space="preserve"> okvira za uresničevanje ciljev evropskega digitalnega desetletja in svežnja ukrepov »Pripravljeni na 55«, med drugim s pospešenim uvajanjem obnovljivih virov energije in zagotavljanjem dostopa do velike količine cenovno ugodne in </w:t>
      </w:r>
      <w:proofErr w:type="spellStart"/>
      <w:r w:rsidRPr="005573CA">
        <w:rPr>
          <w:rFonts w:ascii="Arial" w:hAnsi="Arial" w:cs="Arial"/>
          <w:sz w:val="20"/>
          <w:szCs w:val="20"/>
        </w:rPr>
        <w:t>razogljičene</w:t>
      </w:r>
      <w:proofErr w:type="spellEnd"/>
      <w:r w:rsidRPr="005573CA">
        <w:rPr>
          <w:rFonts w:ascii="Arial" w:hAnsi="Arial" w:cs="Arial"/>
          <w:sz w:val="20"/>
          <w:szCs w:val="20"/>
        </w:rPr>
        <w:t xml:space="preserve"> električne energije.</w:t>
      </w:r>
    </w:p>
    <w:p w:rsidR="003A1449" w:rsidRPr="005573CA" w:rsidRDefault="003A1449" w:rsidP="005573CA">
      <w:pPr>
        <w:jc w:val="both"/>
        <w:rPr>
          <w:rFonts w:ascii="Arial" w:hAnsi="Arial" w:cs="Arial"/>
          <w:sz w:val="20"/>
          <w:szCs w:val="20"/>
        </w:rPr>
      </w:pPr>
      <w:r w:rsidRPr="005573CA">
        <w:rPr>
          <w:rFonts w:ascii="Arial" w:hAnsi="Arial" w:cs="Arial"/>
          <w:sz w:val="20"/>
          <w:szCs w:val="20"/>
        </w:rPr>
        <w:t xml:space="preserve">Tretji ukrep je zagotavljanje svetovalcev za </w:t>
      </w:r>
      <w:proofErr w:type="spellStart"/>
      <w:r w:rsidRPr="005573CA">
        <w:rPr>
          <w:rFonts w:ascii="Arial" w:hAnsi="Arial" w:cs="Arial"/>
          <w:sz w:val="20"/>
          <w:szCs w:val="20"/>
        </w:rPr>
        <w:t>trajnostnost</w:t>
      </w:r>
      <w:proofErr w:type="spellEnd"/>
      <w:r w:rsidRPr="005573CA">
        <w:rPr>
          <w:rFonts w:ascii="Arial" w:hAnsi="Arial" w:cs="Arial"/>
          <w:sz w:val="20"/>
          <w:szCs w:val="20"/>
        </w:rPr>
        <w:t xml:space="preserve"> za mala in srednja podjetja in podpiranje podatkovno vodenih poslovnih modelov za čim boljše izkoriščanje prednosti zelenega in digitalnega prehoda. Četrti ukrep je naložbe za izpopolnjevanje in prekvalifikacijo v podporo dvojnemu prehodu.</w:t>
      </w:r>
    </w:p>
    <w:p w:rsidR="003A1449" w:rsidRPr="005573CA" w:rsidRDefault="003A1449" w:rsidP="005573CA">
      <w:pPr>
        <w:jc w:val="both"/>
        <w:rPr>
          <w:rFonts w:ascii="Arial" w:hAnsi="Arial" w:cs="Arial"/>
          <w:sz w:val="20"/>
          <w:szCs w:val="20"/>
        </w:rPr>
      </w:pPr>
      <w:r w:rsidRPr="005573CA">
        <w:rPr>
          <w:rFonts w:ascii="Arial" w:hAnsi="Arial" w:cs="Arial"/>
          <w:sz w:val="20"/>
          <w:szCs w:val="20"/>
        </w:rPr>
        <w:t>Komisija je skupaj s prenovljeno industrijsko strategijo objavila še letno poročilo o enotnem trgu 2021, analizo strateških odvisnosti in zmogljivosti EU in dokument o konkurenčnem in čistem evropskem jeklarstvu.</w:t>
      </w:r>
    </w:p>
    <w:p w:rsidR="003A1449" w:rsidRPr="005573CA" w:rsidRDefault="003A1449" w:rsidP="005573CA">
      <w:pPr>
        <w:jc w:val="both"/>
        <w:rPr>
          <w:rFonts w:ascii="Arial" w:hAnsi="Arial" w:cs="Arial"/>
          <w:b/>
          <w:sz w:val="20"/>
          <w:szCs w:val="20"/>
        </w:rPr>
      </w:pPr>
      <w:r w:rsidRPr="005573CA">
        <w:rPr>
          <w:rFonts w:ascii="Arial" w:hAnsi="Arial" w:cs="Arial"/>
          <w:b/>
          <w:sz w:val="20"/>
          <w:szCs w:val="20"/>
        </w:rPr>
        <w:t>Koristne informacije:</w:t>
      </w:r>
    </w:p>
    <w:p w:rsidR="00555A7D" w:rsidRPr="005573CA" w:rsidRDefault="00555A7D" w:rsidP="005573CA">
      <w:pPr>
        <w:pStyle w:val="Odstavekseznama"/>
        <w:numPr>
          <w:ilvl w:val="0"/>
          <w:numId w:val="1"/>
        </w:numPr>
        <w:jc w:val="both"/>
        <w:rPr>
          <w:rFonts w:ascii="Arial" w:hAnsi="Arial" w:cs="Arial"/>
          <w:sz w:val="20"/>
          <w:szCs w:val="20"/>
        </w:rPr>
      </w:pPr>
      <w:r w:rsidRPr="005573CA">
        <w:rPr>
          <w:rFonts w:ascii="Arial" w:hAnsi="Arial" w:cs="Arial"/>
          <w:sz w:val="20"/>
          <w:szCs w:val="20"/>
        </w:rPr>
        <w:t>Spletna stran z informacijam i o industrijski strategiji EU:</w:t>
      </w:r>
    </w:p>
    <w:p w:rsidR="00555A7D" w:rsidRPr="005573CA" w:rsidRDefault="00555A7D" w:rsidP="005573CA">
      <w:pPr>
        <w:pStyle w:val="Odstavekseznama"/>
        <w:numPr>
          <w:ilvl w:val="0"/>
          <w:numId w:val="1"/>
        </w:numPr>
        <w:jc w:val="both"/>
        <w:rPr>
          <w:rFonts w:ascii="Arial" w:hAnsi="Arial" w:cs="Arial"/>
          <w:sz w:val="20"/>
          <w:szCs w:val="20"/>
        </w:rPr>
      </w:pPr>
      <w:hyperlink r:id="rId6" w:history="1">
        <w:r w:rsidRPr="005573CA">
          <w:rPr>
            <w:rStyle w:val="Hiperpovezava"/>
            <w:rFonts w:ascii="Arial" w:hAnsi="Arial" w:cs="Arial"/>
            <w:sz w:val="20"/>
            <w:szCs w:val="20"/>
          </w:rPr>
          <w:t>https://ec.europa.eu/info/strategy/priorities-2019-2024/europe-fit-digital-age/european-industrial-strategy_sl</w:t>
        </w:r>
      </w:hyperlink>
      <w:r w:rsidRPr="005573CA">
        <w:rPr>
          <w:rFonts w:ascii="Arial" w:hAnsi="Arial" w:cs="Arial"/>
          <w:sz w:val="20"/>
          <w:szCs w:val="20"/>
        </w:rPr>
        <w:t xml:space="preserve"> </w:t>
      </w:r>
    </w:p>
    <w:p w:rsidR="003A1449" w:rsidRPr="005573CA" w:rsidRDefault="003A1449" w:rsidP="005573CA">
      <w:pPr>
        <w:pStyle w:val="Odstavekseznama"/>
        <w:numPr>
          <w:ilvl w:val="0"/>
          <w:numId w:val="1"/>
        </w:numPr>
        <w:jc w:val="both"/>
        <w:rPr>
          <w:rFonts w:ascii="Arial" w:hAnsi="Arial" w:cs="Arial"/>
          <w:sz w:val="20"/>
          <w:szCs w:val="20"/>
        </w:rPr>
      </w:pPr>
      <w:r w:rsidRPr="005573CA">
        <w:rPr>
          <w:rFonts w:ascii="Arial" w:hAnsi="Arial" w:cs="Arial"/>
          <w:sz w:val="20"/>
          <w:szCs w:val="20"/>
        </w:rPr>
        <w:t>Posodobljena  industrijska strategija:</w:t>
      </w:r>
    </w:p>
    <w:p w:rsidR="003A1449" w:rsidRPr="005573CA" w:rsidRDefault="003A1449" w:rsidP="005573CA">
      <w:pPr>
        <w:pStyle w:val="Odstavekseznama"/>
        <w:numPr>
          <w:ilvl w:val="0"/>
          <w:numId w:val="1"/>
        </w:numPr>
        <w:jc w:val="both"/>
        <w:rPr>
          <w:rFonts w:ascii="Arial" w:hAnsi="Arial" w:cs="Arial"/>
          <w:sz w:val="20"/>
          <w:szCs w:val="20"/>
        </w:rPr>
      </w:pPr>
      <w:hyperlink r:id="rId7" w:history="1">
        <w:r w:rsidRPr="005573CA">
          <w:rPr>
            <w:rStyle w:val="Hiperpovezava"/>
            <w:rFonts w:ascii="Arial" w:hAnsi="Arial" w:cs="Arial"/>
            <w:sz w:val="20"/>
            <w:szCs w:val="20"/>
          </w:rPr>
          <w:t>https://ec.europa.eu/info/files/communication-updating-2020-new-industrial-strategy-building-stronger-single-market-europes-recovery_sl</w:t>
        </w:r>
      </w:hyperlink>
    </w:p>
    <w:p w:rsidR="003A1449" w:rsidRPr="005573CA" w:rsidRDefault="003A1449" w:rsidP="005573CA">
      <w:pPr>
        <w:pStyle w:val="Odstavekseznama"/>
        <w:numPr>
          <w:ilvl w:val="0"/>
          <w:numId w:val="1"/>
        </w:numPr>
        <w:jc w:val="both"/>
        <w:rPr>
          <w:rFonts w:ascii="Arial" w:hAnsi="Arial" w:cs="Arial"/>
          <w:sz w:val="20"/>
          <w:szCs w:val="20"/>
        </w:rPr>
      </w:pPr>
      <w:r w:rsidRPr="005573CA">
        <w:rPr>
          <w:rFonts w:ascii="Arial" w:hAnsi="Arial" w:cs="Arial"/>
          <w:sz w:val="20"/>
          <w:szCs w:val="20"/>
        </w:rPr>
        <w:t>Predlog uredbe o tujih subvencijah, ki izkrivljajo enotni trg:</w:t>
      </w:r>
    </w:p>
    <w:p w:rsidR="003A1449" w:rsidRDefault="003A1449" w:rsidP="005573CA">
      <w:pPr>
        <w:pStyle w:val="Odstavekseznama"/>
        <w:numPr>
          <w:ilvl w:val="0"/>
          <w:numId w:val="1"/>
        </w:numPr>
        <w:jc w:val="both"/>
        <w:rPr>
          <w:rFonts w:ascii="Arial" w:hAnsi="Arial" w:cs="Arial"/>
          <w:sz w:val="20"/>
          <w:szCs w:val="20"/>
        </w:rPr>
      </w:pPr>
      <w:hyperlink r:id="rId8" w:history="1">
        <w:r w:rsidRPr="005573CA">
          <w:rPr>
            <w:rStyle w:val="Hiperpovezava"/>
            <w:rFonts w:ascii="Arial" w:hAnsi="Arial" w:cs="Arial"/>
            <w:sz w:val="20"/>
            <w:szCs w:val="20"/>
          </w:rPr>
          <w:t>https://ec.europa.eu/competition/international/overview/proposal_for_regulation.pdf</w:t>
        </w:r>
      </w:hyperlink>
    </w:p>
    <w:p w:rsidR="00DE645A" w:rsidRPr="00DE645A" w:rsidRDefault="00DE645A" w:rsidP="00DE645A">
      <w:pPr>
        <w:ind w:left="360"/>
        <w:jc w:val="both"/>
        <w:rPr>
          <w:rFonts w:ascii="Arial" w:hAnsi="Arial" w:cs="Arial"/>
          <w:sz w:val="20"/>
          <w:szCs w:val="20"/>
        </w:rPr>
      </w:pPr>
    </w:p>
    <w:p w:rsidR="003A1449" w:rsidRPr="005573CA" w:rsidRDefault="003A1449" w:rsidP="005573CA">
      <w:pPr>
        <w:pStyle w:val="Odstavekseznama"/>
        <w:numPr>
          <w:ilvl w:val="0"/>
          <w:numId w:val="1"/>
        </w:numPr>
        <w:jc w:val="both"/>
        <w:rPr>
          <w:rFonts w:ascii="Arial" w:hAnsi="Arial" w:cs="Arial"/>
          <w:sz w:val="20"/>
          <w:szCs w:val="20"/>
        </w:rPr>
      </w:pPr>
      <w:r w:rsidRPr="005573CA">
        <w:rPr>
          <w:rFonts w:ascii="Arial" w:hAnsi="Arial" w:cs="Arial"/>
          <w:sz w:val="20"/>
          <w:szCs w:val="20"/>
        </w:rPr>
        <w:lastRenderedPageBreak/>
        <w:t>Poročilo o vplivih uredbe o tujih subvencijah:</w:t>
      </w:r>
    </w:p>
    <w:p w:rsidR="003A1449" w:rsidRPr="005573CA" w:rsidRDefault="003A1449" w:rsidP="005573CA">
      <w:pPr>
        <w:pStyle w:val="Odstavekseznama"/>
        <w:numPr>
          <w:ilvl w:val="0"/>
          <w:numId w:val="1"/>
        </w:numPr>
        <w:jc w:val="both"/>
        <w:rPr>
          <w:rFonts w:ascii="Arial" w:hAnsi="Arial" w:cs="Arial"/>
          <w:sz w:val="20"/>
          <w:szCs w:val="20"/>
        </w:rPr>
      </w:pPr>
      <w:hyperlink r:id="rId9" w:history="1">
        <w:r w:rsidRPr="005573CA">
          <w:rPr>
            <w:rStyle w:val="Hiperpovezava"/>
            <w:rFonts w:ascii="Arial" w:hAnsi="Arial" w:cs="Arial"/>
            <w:sz w:val="20"/>
            <w:szCs w:val="20"/>
          </w:rPr>
          <w:t>https://ec.europa.eu/competition/international/overview/impact_assessment_report.pdf</w:t>
        </w:r>
      </w:hyperlink>
    </w:p>
    <w:p w:rsidR="003A1449" w:rsidRPr="005573CA" w:rsidRDefault="003A1449" w:rsidP="005573CA">
      <w:pPr>
        <w:pStyle w:val="Odstavekseznama"/>
        <w:numPr>
          <w:ilvl w:val="0"/>
          <w:numId w:val="1"/>
        </w:numPr>
        <w:jc w:val="both"/>
        <w:rPr>
          <w:rFonts w:ascii="Arial" w:hAnsi="Arial" w:cs="Arial"/>
          <w:sz w:val="20"/>
          <w:szCs w:val="20"/>
        </w:rPr>
      </w:pPr>
      <w:r w:rsidRPr="005573CA">
        <w:rPr>
          <w:rFonts w:ascii="Arial" w:hAnsi="Arial" w:cs="Arial"/>
          <w:sz w:val="20"/>
          <w:szCs w:val="20"/>
        </w:rPr>
        <w:t>Letno poročilo o enotnem trgu 2021:</w:t>
      </w:r>
    </w:p>
    <w:p w:rsidR="003A1449" w:rsidRPr="005573CA" w:rsidRDefault="003A1449" w:rsidP="005573CA">
      <w:pPr>
        <w:pStyle w:val="Odstavekseznama"/>
        <w:numPr>
          <w:ilvl w:val="0"/>
          <w:numId w:val="1"/>
        </w:numPr>
        <w:jc w:val="both"/>
        <w:rPr>
          <w:rFonts w:ascii="Arial" w:hAnsi="Arial" w:cs="Arial"/>
          <w:sz w:val="20"/>
          <w:szCs w:val="20"/>
        </w:rPr>
      </w:pPr>
      <w:hyperlink r:id="rId10" w:history="1">
        <w:r w:rsidRPr="005573CA">
          <w:rPr>
            <w:rStyle w:val="Hiperpovezava"/>
            <w:rFonts w:ascii="Arial" w:hAnsi="Arial" w:cs="Arial"/>
            <w:sz w:val="20"/>
            <w:szCs w:val="20"/>
          </w:rPr>
          <w:t>https://ec.europa.eu/info/files/staff-working-document-annual-single-market-report-2021_sl</w:t>
        </w:r>
      </w:hyperlink>
    </w:p>
    <w:p w:rsidR="003A1449" w:rsidRPr="005573CA" w:rsidRDefault="003A1449" w:rsidP="005573CA">
      <w:pPr>
        <w:pStyle w:val="Odstavekseznama"/>
        <w:numPr>
          <w:ilvl w:val="0"/>
          <w:numId w:val="1"/>
        </w:numPr>
        <w:jc w:val="both"/>
        <w:rPr>
          <w:rFonts w:ascii="Arial" w:hAnsi="Arial" w:cs="Arial"/>
          <w:sz w:val="20"/>
          <w:szCs w:val="20"/>
        </w:rPr>
      </w:pPr>
      <w:r w:rsidRPr="005573CA">
        <w:rPr>
          <w:rFonts w:ascii="Arial" w:hAnsi="Arial" w:cs="Arial"/>
          <w:sz w:val="20"/>
          <w:szCs w:val="20"/>
        </w:rPr>
        <w:t>Strateške odvisnosti in zmogljivosti:</w:t>
      </w:r>
    </w:p>
    <w:p w:rsidR="003A1449" w:rsidRPr="005573CA" w:rsidRDefault="003A1449" w:rsidP="005573CA">
      <w:pPr>
        <w:pStyle w:val="Odstavekseznama"/>
        <w:numPr>
          <w:ilvl w:val="0"/>
          <w:numId w:val="1"/>
        </w:numPr>
        <w:jc w:val="both"/>
        <w:rPr>
          <w:rFonts w:ascii="Arial" w:hAnsi="Arial" w:cs="Arial"/>
          <w:sz w:val="20"/>
          <w:szCs w:val="20"/>
        </w:rPr>
      </w:pPr>
      <w:hyperlink r:id="rId11" w:history="1">
        <w:r w:rsidRPr="005573CA">
          <w:rPr>
            <w:rStyle w:val="Hiperpovezava"/>
            <w:rFonts w:ascii="Arial" w:hAnsi="Arial" w:cs="Arial"/>
            <w:sz w:val="20"/>
            <w:szCs w:val="20"/>
          </w:rPr>
          <w:t>https://ec.europa.eu/info/files/staff-working-document-strategic-dependencies-and-capacities_sl</w:t>
        </w:r>
      </w:hyperlink>
    </w:p>
    <w:p w:rsidR="003A1449" w:rsidRPr="005573CA" w:rsidRDefault="00555A7D" w:rsidP="005573CA">
      <w:pPr>
        <w:pStyle w:val="Odstavekseznama"/>
        <w:numPr>
          <w:ilvl w:val="0"/>
          <w:numId w:val="1"/>
        </w:numPr>
        <w:jc w:val="both"/>
        <w:rPr>
          <w:rFonts w:ascii="Arial" w:hAnsi="Arial" w:cs="Arial"/>
          <w:sz w:val="20"/>
          <w:szCs w:val="20"/>
        </w:rPr>
      </w:pPr>
      <w:r w:rsidRPr="005573CA">
        <w:rPr>
          <w:rFonts w:ascii="Arial" w:hAnsi="Arial" w:cs="Arial"/>
          <w:sz w:val="20"/>
          <w:szCs w:val="20"/>
        </w:rPr>
        <w:t>Dokument o jeklarstvu:</w:t>
      </w:r>
    </w:p>
    <w:p w:rsidR="00555A7D" w:rsidRPr="005573CA" w:rsidRDefault="00555A7D" w:rsidP="005573CA">
      <w:pPr>
        <w:pStyle w:val="Odstavekseznama"/>
        <w:numPr>
          <w:ilvl w:val="0"/>
          <w:numId w:val="1"/>
        </w:numPr>
        <w:jc w:val="both"/>
        <w:rPr>
          <w:rFonts w:ascii="Arial" w:hAnsi="Arial" w:cs="Arial"/>
          <w:sz w:val="20"/>
          <w:szCs w:val="20"/>
        </w:rPr>
      </w:pPr>
      <w:hyperlink r:id="rId12" w:history="1">
        <w:r w:rsidRPr="005573CA">
          <w:rPr>
            <w:rStyle w:val="Hiperpovezava"/>
            <w:rFonts w:ascii="Arial" w:hAnsi="Arial" w:cs="Arial"/>
            <w:sz w:val="20"/>
            <w:szCs w:val="20"/>
          </w:rPr>
          <w:t>https://ec.europa.eu/info/files/staff-working-document-towards-competitive-and-clean-european-steel_sl</w:t>
        </w:r>
      </w:hyperlink>
    </w:p>
    <w:p w:rsidR="005573CA" w:rsidRDefault="001F5B95" w:rsidP="005573CA">
      <w:pPr>
        <w:spacing w:after="0"/>
        <w:jc w:val="both"/>
        <w:rPr>
          <w:rFonts w:ascii="Arial" w:hAnsi="Arial" w:cs="Arial"/>
          <w:sz w:val="20"/>
          <w:szCs w:val="20"/>
        </w:rPr>
      </w:pPr>
      <w:r w:rsidRPr="005573CA">
        <w:rPr>
          <w:rFonts w:ascii="Arial" w:hAnsi="Arial" w:cs="Arial"/>
          <w:sz w:val="20"/>
          <w:szCs w:val="20"/>
        </w:rPr>
        <w:t>Pripravila:</w:t>
      </w:r>
    </w:p>
    <w:p w:rsidR="001F5B95" w:rsidRPr="005573CA" w:rsidRDefault="001F5B95" w:rsidP="005573CA">
      <w:pPr>
        <w:spacing w:after="0"/>
        <w:jc w:val="both"/>
        <w:rPr>
          <w:rFonts w:ascii="Arial" w:hAnsi="Arial" w:cs="Arial"/>
          <w:sz w:val="20"/>
          <w:szCs w:val="20"/>
        </w:rPr>
      </w:pPr>
      <w:r w:rsidRPr="005573CA">
        <w:rPr>
          <w:rFonts w:ascii="Arial" w:hAnsi="Arial" w:cs="Arial"/>
          <w:sz w:val="20"/>
          <w:szCs w:val="20"/>
        </w:rPr>
        <w:t>Darja Kocbek</w:t>
      </w:r>
    </w:p>
    <w:sectPr w:rsidR="001F5B95" w:rsidRPr="005573CA" w:rsidSect="000F72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73D28"/>
    <w:multiLevelType w:val="hybridMultilevel"/>
    <w:tmpl w:val="DF14BD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7E16"/>
    <w:rsid w:val="000F7201"/>
    <w:rsid w:val="001F5B95"/>
    <w:rsid w:val="00345693"/>
    <w:rsid w:val="003A1449"/>
    <w:rsid w:val="00555A7D"/>
    <w:rsid w:val="005573CA"/>
    <w:rsid w:val="008A7E16"/>
    <w:rsid w:val="00DE645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F7201"/>
  </w:style>
  <w:style w:type="paragraph" w:styleId="Naslov2">
    <w:name w:val="heading 2"/>
    <w:basedOn w:val="Navaden"/>
    <w:next w:val="Navaden"/>
    <w:link w:val="Naslov2Znak"/>
    <w:uiPriority w:val="9"/>
    <w:semiHidden/>
    <w:unhideWhenUsed/>
    <w:qFormat/>
    <w:rsid w:val="00DE64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A7E16"/>
    <w:rPr>
      <w:color w:val="0000FF"/>
      <w:u w:val="single"/>
    </w:rPr>
  </w:style>
  <w:style w:type="character" w:styleId="Krepko">
    <w:name w:val="Strong"/>
    <w:basedOn w:val="Privzetapisavaodstavka"/>
    <w:uiPriority w:val="22"/>
    <w:qFormat/>
    <w:rsid w:val="003A1449"/>
    <w:rPr>
      <w:b/>
      <w:bCs/>
    </w:rPr>
  </w:style>
  <w:style w:type="paragraph" w:styleId="Odstavekseznama">
    <w:name w:val="List Paragraph"/>
    <w:basedOn w:val="Navaden"/>
    <w:uiPriority w:val="34"/>
    <w:qFormat/>
    <w:rsid w:val="005573CA"/>
    <w:pPr>
      <w:ind w:left="720"/>
      <w:contextualSpacing/>
    </w:pPr>
  </w:style>
  <w:style w:type="character" w:customStyle="1" w:styleId="Naslov2Znak">
    <w:name w:val="Naslov 2 Znak"/>
    <w:basedOn w:val="Privzetapisavaodstavka"/>
    <w:link w:val="Naslov2"/>
    <w:uiPriority w:val="9"/>
    <w:semiHidden/>
    <w:rsid w:val="00DE645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E645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E64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petition/international/overview/proposal_for_regula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files/communication-updating-2020-new-industrial-strategy-building-stronger-single-market-europes-recovery_sl" TargetMode="External"/><Relationship Id="rId12" Type="http://schemas.openxmlformats.org/officeDocument/2006/relationships/hyperlink" Target="https://ec.europa.eu/info/files/staff-working-document-towards-competitive-and-clean-european-steel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strategy/priorities-2019-2024/europe-fit-digital-age/european-industrial-strategy_sl" TargetMode="External"/><Relationship Id="rId11" Type="http://schemas.openxmlformats.org/officeDocument/2006/relationships/hyperlink" Target="https://ec.europa.eu/info/files/staff-working-document-strategic-dependencies-and-capacities_sl" TargetMode="External"/><Relationship Id="rId5" Type="http://schemas.openxmlformats.org/officeDocument/2006/relationships/image" Target="media/image1.png"/><Relationship Id="rId10" Type="http://schemas.openxmlformats.org/officeDocument/2006/relationships/hyperlink" Target="https://ec.europa.eu/info/files/staff-working-document-annual-single-market-report-2021_sl" TargetMode="External"/><Relationship Id="rId4" Type="http://schemas.openxmlformats.org/officeDocument/2006/relationships/webSettings" Target="webSettings.xml"/><Relationship Id="rId9" Type="http://schemas.openxmlformats.org/officeDocument/2006/relationships/hyperlink" Target="https://ec.europa.eu/competition/international/overview/impact_assessment_report.pdf"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554</Words>
  <Characters>3158</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2021-05-05T19:22:00Z</dcterms:created>
  <dcterms:modified xsi:type="dcterms:W3CDTF">2021-05-05T19:44:00Z</dcterms:modified>
</cp:coreProperties>
</file>