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6F" w:rsidRPr="00467345" w:rsidRDefault="0094526F" w:rsidP="0094526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26F" w:rsidRPr="00301C78" w:rsidRDefault="0094526F" w:rsidP="0094526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4526F" w:rsidRPr="00083714" w:rsidRDefault="0094526F" w:rsidP="0094526F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94526F" w:rsidRDefault="0094526F" w:rsidP="0094526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76 </w:t>
      </w:r>
      <w:r w:rsidRPr="00083714">
        <w:rPr>
          <w:b/>
        </w:rPr>
        <w:t>– 20</w:t>
      </w:r>
      <w:r>
        <w:rPr>
          <w:b/>
        </w:rPr>
        <w:t>23</w:t>
      </w:r>
    </w:p>
    <w:p w:rsidR="0094526F" w:rsidRDefault="0094526F" w:rsidP="0094526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08.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94526F" w:rsidRDefault="0094526F" w:rsidP="0094526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akt za podporo proizvodnji streliva</w:t>
      </w:r>
    </w:p>
    <w:p w:rsidR="00696FCA" w:rsidRPr="0094526F" w:rsidRDefault="00696FCA" w:rsidP="0094526F">
      <w:pPr>
        <w:jc w:val="both"/>
        <w:rPr>
          <w:rFonts w:ascii="Arial" w:hAnsi="Arial" w:cs="Arial"/>
          <w:b/>
          <w:i/>
        </w:rPr>
      </w:pPr>
      <w:r w:rsidRPr="0094526F">
        <w:rPr>
          <w:rFonts w:ascii="Arial" w:hAnsi="Arial" w:cs="Arial"/>
          <w:b/>
          <w:i/>
        </w:rPr>
        <w:t>Evropska komisija je sprejela akt za podporo proizvodnji streliva, ki določa  ukrepe in financiranje za povečanje zmogljivosti EU za proizvodnjo streliva ter obravnavo pomanjkanja streliva in izstrelkov, vključno z njihovimi sestavnimi deli. Akt naj bi zlasti okrepil odzivnost in sposobnost obrambne industrije EU, da zagotovi pravočasno dobavo streliva in raket v Evropi. Za ta namen Evropska komisija predlaga proračun v višini 500 milijonov evrov. Sredstva izhajajo iz prerazporeditve različnih instrumentov, zlasti Evropskega obrambnega sklada in prihodnjega instrumenta za okrepitev zmogljivosti evropske obrambne industrije s skupnimi javnimi naročili (EDIRPA).</w:t>
      </w:r>
    </w:p>
    <w:p w:rsidR="00926A2E" w:rsidRPr="0094526F" w:rsidRDefault="002539D6" w:rsidP="0094526F">
      <w:pPr>
        <w:jc w:val="both"/>
        <w:rPr>
          <w:rFonts w:ascii="Arial" w:hAnsi="Arial" w:cs="Arial"/>
          <w:sz w:val="20"/>
          <w:szCs w:val="20"/>
        </w:rPr>
      </w:pPr>
      <w:r w:rsidRPr="0094526F">
        <w:rPr>
          <w:rFonts w:ascii="Arial" w:hAnsi="Arial" w:cs="Arial"/>
          <w:sz w:val="20"/>
          <w:szCs w:val="20"/>
        </w:rPr>
        <w:t>V p</w:t>
      </w:r>
      <w:r w:rsidR="00926A2E" w:rsidRPr="0094526F">
        <w:rPr>
          <w:rFonts w:ascii="Arial" w:hAnsi="Arial" w:cs="Arial"/>
          <w:sz w:val="20"/>
          <w:szCs w:val="20"/>
        </w:rPr>
        <w:t>redlog</w:t>
      </w:r>
      <w:r w:rsidRPr="0094526F">
        <w:rPr>
          <w:rFonts w:ascii="Arial" w:hAnsi="Arial" w:cs="Arial"/>
          <w:sz w:val="20"/>
          <w:szCs w:val="20"/>
        </w:rPr>
        <w:t>u</w:t>
      </w:r>
      <w:r w:rsidR="00926A2E" w:rsidRPr="0094526F">
        <w:rPr>
          <w:rFonts w:ascii="Arial" w:hAnsi="Arial" w:cs="Arial"/>
          <w:sz w:val="20"/>
          <w:szCs w:val="20"/>
        </w:rPr>
        <w:t xml:space="preserve"> nove uredbe </w:t>
      </w:r>
      <w:r w:rsidRPr="0094526F">
        <w:rPr>
          <w:rFonts w:ascii="Arial" w:hAnsi="Arial" w:cs="Arial"/>
          <w:sz w:val="20"/>
          <w:szCs w:val="20"/>
        </w:rPr>
        <w:t>je predviden</w:t>
      </w:r>
      <w:r w:rsidR="00926A2E" w:rsidRPr="0094526F">
        <w:rPr>
          <w:rFonts w:ascii="Arial" w:hAnsi="Arial" w:cs="Arial"/>
          <w:sz w:val="20"/>
          <w:szCs w:val="20"/>
        </w:rPr>
        <w:t xml:space="preserve">  instrument za finančno podporo krepitvi industrijskih proizvodnih zmogljivosti Unije za ustrezne obrambne proizvode</w:t>
      </w:r>
      <w:r w:rsidRPr="0094526F">
        <w:rPr>
          <w:rFonts w:ascii="Arial" w:hAnsi="Arial" w:cs="Arial"/>
          <w:sz w:val="20"/>
          <w:szCs w:val="20"/>
        </w:rPr>
        <w:t>. Evropska komisija nadalje predlaga m</w:t>
      </w:r>
      <w:r w:rsidR="00926A2E" w:rsidRPr="0094526F">
        <w:rPr>
          <w:rFonts w:ascii="Arial" w:hAnsi="Arial" w:cs="Arial"/>
          <w:sz w:val="20"/>
          <w:szCs w:val="20"/>
        </w:rPr>
        <w:t>ehanizem za kartiranje, spremljanje in boljše predvidevanje ozkih grl v dobavnih verigah</w:t>
      </w:r>
      <w:r w:rsidRPr="0094526F">
        <w:rPr>
          <w:rFonts w:ascii="Arial" w:hAnsi="Arial" w:cs="Arial"/>
          <w:sz w:val="20"/>
          <w:szCs w:val="20"/>
        </w:rPr>
        <w:t xml:space="preserve"> za obrambne proizvode. Tretji element v novi uredbi je</w:t>
      </w:r>
      <w:r w:rsidR="0094526F">
        <w:rPr>
          <w:rFonts w:ascii="Arial" w:hAnsi="Arial" w:cs="Arial"/>
          <w:sz w:val="20"/>
          <w:szCs w:val="20"/>
        </w:rPr>
        <w:t xml:space="preserve"> </w:t>
      </w:r>
      <w:r w:rsidRPr="0094526F">
        <w:rPr>
          <w:rFonts w:ascii="Arial" w:hAnsi="Arial" w:cs="Arial"/>
          <w:sz w:val="20"/>
          <w:szCs w:val="20"/>
        </w:rPr>
        <w:t>uvedba</w:t>
      </w:r>
      <w:r w:rsidR="00926A2E" w:rsidRPr="0094526F">
        <w:rPr>
          <w:rFonts w:ascii="Arial" w:hAnsi="Arial" w:cs="Arial"/>
          <w:sz w:val="20"/>
          <w:szCs w:val="20"/>
        </w:rPr>
        <w:t xml:space="preserve"> začasnega </w:t>
      </w:r>
      <w:proofErr w:type="spellStart"/>
      <w:r w:rsidR="00926A2E" w:rsidRPr="0094526F">
        <w:rPr>
          <w:rFonts w:ascii="Arial" w:hAnsi="Arial" w:cs="Arial"/>
          <w:sz w:val="20"/>
          <w:szCs w:val="20"/>
        </w:rPr>
        <w:t>regulativnega</w:t>
      </w:r>
      <w:proofErr w:type="spellEnd"/>
      <w:r w:rsidR="00926A2E" w:rsidRPr="0094526F">
        <w:rPr>
          <w:rFonts w:ascii="Arial" w:hAnsi="Arial" w:cs="Arial"/>
          <w:sz w:val="20"/>
          <w:szCs w:val="20"/>
        </w:rPr>
        <w:t xml:space="preserve"> okvira za odpravo pomanjkanja streliva.</w:t>
      </w:r>
    </w:p>
    <w:p w:rsidR="002539D6" w:rsidRPr="0094526F" w:rsidRDefault="002539D6" w:rsidP="0094526F">
      <w:pPr>
        <w:jc w:val="both"/>
        <w:rPr>
          <w:rFonts w:ascii="Arial" w:hAnsi="Arial" w:cs="Arial"/>
          <w:sz w:val="20"/>
          <w:szCs w:val="20"/>
        </w:rPr>
      </w:pPr>
      <w:r w:rsidRPr="0094526F">
        <w:rPr>
          <w:rFonts w:ascii="Arial" w:hAnsi="Arial" w:cs="Arial"/>
          <w:sz w:val="20"/>
          <w:szCs w:val="20"/>
        </w:rPr>
        <w:t>Finančna podpora naj bi bila zagotovljena v obliki nepovratnih sredstev za različne vrste ukrepov, ki prispevajo k prizadevanjem evropske obrambne industrije za povečanje proizvodnih zmogljivosti in odpravo ugotovljenih ozkih grl.</w:t>
      </w:r>
    </w:p>
    <w:p w:rsidR="002539D6" w:rsidRPr="0094526F" w:rsidRDefault="002539D6" w:rsidP="0094526F">
      <w:pPr>
        <w:jc w:val="both"/>
        <w:rPr>
          <w:rFonts w:ascii="Arial" w:hAnsi="Arial" w:cs="Arial"/>
          <w:b/>
          <w:sz w:val="20"/>
          <w:szCs w:val="20"/>
        </w:rPr>
      </w:pPr>
      <w:r w:rsidRPr="0094526F">
        <w:rPr>
          <w:rFonts w:ascii="Arial" w:hAnsi="Arial" w:cs="Arial"/>
          <w:b/>
          <w:sz w:val="20"/>
          <w:szCs w:val="20"/>
        </w:rPr>
        <w:t>Tabela 1: Ukrepi, za katere je predvidena finančna podpora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2539D6" w:rsidRPr="0094526F" w:rsidTr="002539D6">
        <w:tc>
          <w:tcPr>
            <w:tcW w:w="9212" w:type="dxa"/>
          </w:tcPr>
          <w:p w:rsidR="002539D6" w:rsidRPr="0094526F" w:rsidRDefault="002539D6" w:rsidP="009452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526F">
              <w:rPr>
                <w:rFonts w:ascii="Arial" w:hAnsi="Arial" w:cs="Arial"/>
                <w:b/>
                <w:sz w:val="20"/>
                <w:szCs w:val="20"/>
              </w:rPr>
              <w:t>Ukrepi</w:t>
            </w:r>
          </w:p>
        </w:tc>
      </w:tr>
      <w:tr w:rsidR="002539D6" w:rsidRPr="0094526F" w:rsidTr="002539D6">
        <w:tc>
          <w:tcPr>
            <w:tcW w:w="9212" w:type="dxa"/>
          </w:tcPr>
          <w:p w:rsidR="002539D6" w:rsidRPr="0094526F" w:rsidRDefault="002539D6" w:rsidP="00945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26F">
              <w:rPr>
                <w:rFonts w:ascii="Arial" w:hAnsi="Arial" w:cs="Arial"/>
                <w:sz w:val="20"/>
                <w:szCs w:val="20"/>
              </w:rPr>
              <w:t>Optimizacija, širitev, posodobitev, nadgradnja ali sprememba namembnosti obstoječih proizvodnih zmogljivosti</w:t>
            </w:r>
          </w:p>
        </w:tc>
      </w:tr>
      <w:tr w:rsidR="002539D6" w:rsidRPr="0094526F" w:rsidTr="002539D6">
        <w:tc>
          <w:tcPr>
            <w:tcW w:w="9212" w:type="dxa"/>
          </w:tcPr>
          <w:p w:rsidR="002539D6" w:rsidRPr="0094526F" w:rsidRDefault="002539D6" w:rsidP="00945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26F">
              <w:rPr>
                <w:rFonts w:ascii="Arial" w:hAnsi="Arial" w:cs="Arial"/>
                <w:sz w:val="20"/>
                <w:szCs w:val="20"/>
              </w:rPr>
              <w:t>Vzpostavitev novih proizvodnih zmogljivosti</w:t>
            </w:r>
          </w:p>
        </w:tc>
      </w:tr>
      <w:tr w:rsidR="002539D6" w:rsidRPr="0094526F" w:rsidTr="002539D6">
        <w:tc>
          <w:tcPr>
            <w:tcW w:w="9212" w:type="dxa"/>
          </w:tcPr>
          <w:p w:rsidR="002539D6" w:rsidRPr="0094526F" w:rsidRDefault="002539D6" w:rsidP="00945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26F">
              <w:rPr>
                <w:rFonts w:ascii="Arial" w:hAnsi="Arial" w:cs="Arial"/>
                <w:sz w:val="20"/>
                <w:szCs w:val="20"/>
              </w:rPr>
              <w:t>Vzpostavljanje čezmejnih industrijskih partnerstev, tudi prek javno-zasebnih partnerstev, katerih cilj je na primer zagotoviti dostop do strateških sestavnih delov ali surovin ali rezervirati njihove zaloge</w:t>
            </w:r>
          </w:p>
        </w:tc>
      </w:tr>
      <w:tr w:rsidR="002539D6" w:rsidRPr="0094526F" w:rsidTr="002539D6">
        <w:tc>
          <w:tcPr>
            <w:tcW w:w="9212" w:type="dxa"/>
          </w:tcPr>
          <w:p w:rsidR="002539D6" w:rsidRPr="0094526F" w:rsidRDefault="002539D6" w:rsidP="00945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26F">
              <w:rPr>
                <w:rFonts w:ascii="Arial" w:hAnsi="Arial" w:cs="Arial"/>
                <w:sz w:val="20"/>
                <w:szCs w:val="20"/>
              </w:rPr>
              <w:t xml:space="preserve">Vzpostavitev in zagotavljanje rezerviranih presežnih proizvodnih zmogljivosti </w:t>
            </w:r>
          </w:p>
        </w:tc>
      </w:tr>
      <w:tr w:rsidR="002539D6" w:rsidRPr="0094526F" w:rsidTr="002539D6">
        <w:tc>
          <w:tcPr>
            <w:tcW w:w="9212" w:type="dxa"/>
          </w:tcPr>
          <w:p w:rsidR="002539D6" w:rsidRPr="0094526F" w:rsidRDefault="002539D6" w:rsidP="00945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26F">
              <w:rPr>
                <w:rFonts w:ascii="Arial" w:hAnsi="Arial" w:cs="Arial"/>
                <w:sz w:val="20"/>
                <w:szCs w:val="20"/>
              </w:rPr>
              <w:t>Preizkušanje ali obnavljanje (za odpravo zastarelosti) postopkov, da bi omogočili uporabo obstoječega streliva in izstrelkov</w:t>
            </w:r>
          </w:p>
        </w:tc>
      </w:tr>
      <w:tr w:rsidR="002539D6" w:rsidRPr="0094526F" w:rsidTr="002539D6">
        <w:tc>
          <w:tcPr>
            <w:tcW w:w="9212" w:type="dxa"/>
          </w:tcPr>
          <w:p w:rsidR="002539D6" w:rsidRPr="0094526F" w:rsidRDefault="002539D6" w:rsidP="00945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26F">
              <w:rPr>
                <w:rFonts w:ascii="Arial" w:hAnsi="Arial" w:cs="Arial"/>
                <w:sz w:val="20"/>
                <w:szCs w:val="20"/>
              </w:rPr>
              <w:t>Usposabljanje in izpopolnjevanje ustrezne delovne sile</w:t>
            </w:r>
          </w:p>
        </w:tc>
      </w:tr>
    </w:tbl>
    <w:p w:rsidR="002539D6" w:rsidRPr="0094526F" w:rsidRDefault="002539D6" w:rsidP="0094526F">
      <w:pPr>
        <w:jc w:val="both"/>
        <w:rPr>
          <w:rFonts w:ascii="Arial" w:hAnsi="Arial" w:cs="Arial"/>
          <w:sz w:val="20"/>
          <w:szCs w:val="20"/>
        </w:rPr>
      </w:pPr>
      <w:r w:rsidRPr="0094526F">
        <w:rPr>
          <w:rFonts w:ascii="Arial" w:hAnsi="Arial" w:cs="Arial"/>
          <w:sz w:val="20"/>
          <w:szCs w:val="20"/>
        </w:rPr>
        <w:t>Vir: Evropska komisija</w:t>
      </w:r>
    </w:p>
    <w:p w:rsidR="002539D6" w:rsidRPr="0094526F" w:rsidRDefault="002539D6" w:rsidP="0094526F">
      <w:pPr>
        <w:jc w:val="both"/>
        <w:rPr>
          <w:rFonts w:ascii="Arial" w:hAnsi="Arial" w:cs="Arial"/>
          <w:sz w:val="20"/>
          <w:szCs w:val="20"/>
        </w:rPr>
      </w:pPr>
      <w:r w:rsidRPr="0094526F">
        <w:rPr>
          <w:rFonts w:ascii="Arial" w:hAnsi="Arial" w:cs="Arial"/>
          <w:sz w:val="20"/>
          <w:szCs w:val="20"/>
        </w:rPr>
        <w:lastRenderedPageBreak/>
        <w:t>Akt naj bi podjetjem olajšal dostop do financiranja, verjetno prek posebnega instrumenta</w:t>
      </w:r>
      <w:r w:rsidR="000D4271" w:rsidRPr="0094526F">
        <w:rPr>
          <w:rFonts w:ascii="Arial" w:hAnsi="Arial" w:cs="Arial"/>
          <w:sz w:val="20"/>
          <w:szCs w:val="20"/>
        </w:rPr>
        <w:t xml:space="preserve"> oziroma sklada za pospešitev</w:t>
      </w:r>
      <w:r w:rsidRPr="0094526F">
        <w:rPr>
          <w:rFonts w:ascii="Arial" w:hAnsi="Arial" w:cs="Arial"/>
          <w:sz w:val="20"/>
          <w:szCs w:val="20"/>
        </w:rPr>
        <w:t>. Ta sklad bi bil namenjen podpori podjetjem v dobavnih verigah streliva in raket, ki bi imela dostop do javnega in zasebnega financiranja.</w:t>
      </w:r>
    </w:p>
    <w:p w:rsidR="000D4271" w:rsidRPr="0094526F" w:rsidRDefault="000E057E" w:rsidP="0094526F">
      <w:pPr>
        <w:jc w:val="both"/>
        <w:rPr>
          <w:rFonts w:ascii="Arial" w:hAnsi="Arial" w:cs="Arial"/>
          <w:b/>
          <w:sz w:val="20"/>
          <w:szCs w:val="20"/>
        </w:rPr>
      </w:pPr>
      <w:r w:rsidRPr="0094526F">
        <w:rPr>
          <w:rFonts w:ascii="Arial" w:hAnsi="Arial" w:cs="Arial"/>
          <w:b/>
          <w:sz w:val="20"/>
          <w:szCs w:val="20"/>
        </w:rPr>
        <w:t>Koristne informacije:</w:t>
      </w:r>
    </w:p>
    <w:p w:rsidR="000E057E" w:rsidRPr="0094526F" w:rsidRDefault="000E057E" w:rsidP="009452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526F">
        <w:rPr>
          <w:rFonts w:ascii="Arial" w:hAnsi="Arial" w:cs="Arial"/>
          <w:sz w:val="20"/>
          <w:szCs w:val="20"/>
        </w:rPr>
        <w:t>Predlog akta:</w:t>
      </w:r>
    </w:p>
    <w:p w:rsidR="000E057E" w:rsidRPr="0094526F" w:rsidRDefault="000E057E" w:rsidP="009452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4526F">
          <w:rPr>
            <w:rStyle w:val="Hiperpovezava"/>
            <w:rFonts w:ascii="Arial" w:hAnsi="Arial" w:cs="Arial"/>
            <w:sz w:val="20"/>
            <w:szCs w:val="20"/>
          </w:rPr>
          <w:t>https://def</w:t>
        </w:r>
        <w:r w:rsidRPr="0094526F">
          <w:rPr>
            <w:rStyle w:val="Hiperpovezava"/>
            <w:rFonts w:ascii="Arial" w:hAnsi="Arial" w:cs="Arial"/>
            <w:sz w:val="20"/>
            <w:szCs w:val="20"/>
          </w:rPr>
          <w:t>e</w:t>
        </w:r>
        <w:r w:rsidRPr="0094526F">
          <w:rPr>
            <w:rStyle w:val="Hiperpovezava"/>
            <w:rFonts w:ascii="Arial" w:hAnsi="Arial" w:cs="Arial"/>
            <w:sz w:val="20"/>
            <w:szCs w:val="20"/>
          </w:rPr>
          <w:t>nce-industry-space.ec.europa.eu/eu-defence-industry/act-support-ammunition-production-asap_sl</w:t>
        </w:r>
      </w:hyperlink>
      <w:r w:rsidRPr="0094526F">
        <w:rPr>
          <w:rFonts w:ascii="Arial" w:hAnsi="Arial" w:cs="Arial"/>
          <w:sz w:val="20"/>
          <w:szCs w:val="20"/>
        </w:rPr>
        <w:t xml:space="preserve"> </w:t>
      </w:r>
    </w:p>
    <w:p w:rsidR="000E057E" w:rsidRPr="0094526F" w:rsidRDefault="000E057E" w:rsidP="009452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526F">
        <w:rPr>
          <w:rFonts w:ascii="Arial" w:hAnsi="Arial" w:cs="Arial"/>
          <w:sz w:val="20"/>
          <w:szCs w:val="20"/>
        </w:rPr>
        <w:t>Pripravila:</w:t>
      </w:r>
    </w:p>
    <w:p w:rsidR="000E057E" w:rsidRPr="0094526F" w:rsidRDefault="000E057E" w:rsidP="009452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526F">
        <w:rPr>
          <w:rFonts w:ascii="Arial" w:hAnsi="Arial" w:cs="Arial"/>
          <w:sz w:val="20"/>
          <w:szCs w:val="20"/>
        </w:rPr>
        <w:t>Darja Kocbek</w:t>
      </w:r>
    </w:p>
    <w:p w:rsidR="000E057E" w:rsidRDefault="000E057E" w:rsidP="0094526F">
      <w:pPr>
        <w:spacing w:after="0"/>
      </w:pPr>
    </w:p>
    <w:p w:rsidR="002539D6" w:rsidRPr="00926A2E" w:rsidRDefault="002539D6" w:rsidP="00926A2E"/>
    <w:p w:rsidR="00926A2E" w:rsidRPr="00926A2E" w:rsidRDefault="00926A2E" w:rsidP="00926A2E"/>
    <w:p w:rsidR="00DB4579" w:rsidRPr="00926A2E" w:rsidRDefault="00DB4579" w:rsidP="00926A2E"/>
    <w:sectPr w:rsidR="00DB4579" w:rsidRPr="00926A2E" w:rsidSect="00DB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105"/>
    <w:multiLevelType w:val="hybridMultilevel"/>
    <w:tmpl w:val="E3FA9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FCA"/>
    <w:rsid w:val="000D4271"/>
    <w:rsid w:val="000E057E"/>
    <w:rsid w:val="002539D6"/>
    <w:rsid w:val="00696FCA"/>
    <w:rsid w:val="00926A2E"/>
    <w:rsid w:val="0094526F"/>
    <w:rsid w:val="00DB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4579"/>
  </w:style>
  <w:style w:type="paragraph" w:styleId="Naslov2">
    <w:name w:val="heading 2"/>
    <w:basedOn w:val="Navaden"/>
    <w:link w:val="Naslov2Znak"/>
    <w:uiPriority w:val="9"/>
    <w:qFormat/>
    <w:rsid w:val="00945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9531842865msonormal">
    <w:name w:val="yiv9531842865msonormal"/>
    <w:basedOn w:val="Navaden"/>
    <w:rsid w:val="006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96FCA"/>
    <w:rPr>
      <w:color w:val="0000FF"/>
      <w:u w:val="single"/>
    </w:rPr>
  </w:style>
  <w:style w:type="table" w:styleId="Tabela-mrea">
    <w:name w:val="Table Grid"/>
    <w:basedOn w:val="Navadnatabela"/>
    <w:uiPriority w:val="59"/>
    <w:rsid w:val="00253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0E057E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94526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94526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5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fence-industry-space.ec.europa.eu/eu-defence-industry/act-support-ammunition-production-asap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2023-05-03T14:39:00Z</dcterms:created>
  <dcterms:modified xsi:type="dcterms:W3CDTF">2023-05-03T15:06:00Z</dcterms:modified>
</cp:coreProperties>
</file>