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03" w:rsidRDefault="009C6703" w:rsidP="009C6703">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C6703" w:rsidRDefault="009C6703" w:rsidP="009C6703">
      <w:pPr>
        <w:pStyle w:val="Naslov2"/>
        <w:tabs>
          <w:tab w:val="left" w:pos="3120"/>
        </w:tabs>
        <w:jc w:val="center"/>
        <w:rPr>
          <w:b w:val="0"/>
          <w:bCs w:val="0"/>
          <w:i/>
          <w:iCs/>
          <w:sz w:val="22"/>
        </w:rPr>
      </w:pPr>
      <w:r>
        <w:rPr>
          <w:b w:val="0"/>
          <w:bCs w:val="0"/>
          <w:sz w:val="22"/>
        </w:rPr>
        <w:t>Slovensko gospodarsko in raziskovalno združenje, Bruselj</w:t>
      </w:r>
    </w:p>
    <w:p w:rsidR="009C6703" w:rsidRDefault="009C6703" w:rsidP="009C6703">
      <w:pPr>
        <w:pBdr>
          <w:bottom w:val="single" w:sz="6" w:space="1" w:color="auto"/>
        </w:pBdr>
        <w:tabs>
          <w:tab w:val="left" w:pos="3120"/>
        </w:tabs>
        <w:jc w:val="center"/>
        <w:rPr>
          <w:sz w:val="16"/>
          <w:szCs w:val="16"/>
        </w:rPr>
      </w:pPr>
    </w:p>
    <w:p w:rsidR="009C6703" w:rsidRDefault="009C6703" w:rsidP="009C6703">
      <w:pPr>
        <w:tabs>
          <w:tab w:val="left" w:pos="3120"/>
        </w:tabs>
        <w:jc w:val="center"/>
        <w:rPr>
          <w:rFonts w:ascii="Arial" w:hAnsi="Arial" w:cs="Arial"/>
          <w:b/>
        </w:rPr>
      </w:pPr>
      <w:r>
        <w:rPr>
          <w:rFonts w:ascii="Arial" w:hAnsi="Arial" w:cs="Arial"/>
          <w:b/>
        </w:rPr>
        <w:t>Občasna informacija članom 74</w:t>
      </w:r>
      <w:r w:rsidRPr="001C4501">
        <w:rPr>
          <w:rFonts w:ascii="Arial" w:hAnsi="Arial" w:cs="Arial"/>
          <w:b/>
        </w:rPr>
        <w:t xml:space="preserve"> – 2017</w:t>
      </w:r>
    </w:p>
    <w:p w:rsidR="009C6703" w:rsidRPr="00DD131D" w:rsidRDefault="009C6703" w:rsidP="009C6703">
      <w:pPr>
        <w:tabs>
          <w:tab w:val="left" w:pos="3120"/>
        </w:tabs>
        <w:jc w:val="center"/>
        <w:rPr>
          <w:rFonts w:ascii="Arial" w:hAnsi="Arial" w:cs="Arial"/>
          <w:b/>
        </w:rPr>
      </w:pPr>
      <w:r>
        <w:rPr>
          <w:rFonts w:ascii="Arial" w:hAnsi="Arial" w:cs="Arial"/>
          <w:b/>
        </w:rPr>
        <w:t>08</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9C6703" w:rsidRDefault="009C6703" w:rsidP="009C6703">
      <w:pPr>
        <w:jc w:val="center"/>
        <w:rPr>
          <w:rFonts w:ascii="Arial" w:hAnsi="Arial" w:cs="Arial"/>
          <w:b/>
          <w:i/>
        </w:rPr>
      </w:pPr>
      <w:r>
        <w:rPr>
          <w:rFonts w:ascii="Arial" w:hAnsi="Arial" w:cs="Arial"/>
          <w:b/>
          <w:color w:val="993300"/>
          <w:sz w:val="32"/>
          <w:szCs w:val="32"/>
        </w:rPr>
        <w:t>Publikacija s predstavitvijo izvedenih ukrepov in pobud za povečanje energetske učinkovitosti</w:t>
      </w:r>
    </w:p>
    <w:p w:rsidR="00B459D4" w:rsidRPr="00C0609D" w:rsidRDefault="007E71C7" w:rsidP="00C0609D">
      <w:pPr>
        <w:rPr>
          <w:rFonts w:ascii="Arial" w:hAnsi="Arial" w:cs="Arial"/>
          <w:b/>
          <w:i/>
        </w:rPr>
      </w:pPr>
      <w:r w:rsidRPr="00C0609D">
        <w:rPr>
          <w:rFonts w:ascii="Arial" w:hAnsi="Arial" w:cs="Arial"/>
          <w:b/>
          <w:i/>
        </w:rPr>
        <w:t>V publikaciji, ki jo je objavila Evropska komisija, so zbrane in opisane pobude, ki so jih države članice EU uspešno implementirale za promocijo energetske učinkovitosti. Izpostavljeni so primeri dobrih praks za učinkovito rabo energije v stavbah, industrijskih procesih, na področju storitev, pa tudi predpisi o energetski učinkovitosti za izdelke, ki so na prodaj v EU. V publikaciji so prav tako zbrane informacije o virih financiranja ukrepov za energetsko učinkovitost.</w:t>
      </w:r>
    </w:p>
    <w:p w:rsidR="007E71C7" w:rsidRPr="00C0609D" w:rsidRDefault="007E71C7" w:rsidP="00C0609D">
      <w:pPr>
        <w:rPr>
          <w:rFonts w:ascii="Arial" w:hAnsi="Arial" w:cs="Arial"/>
          <w:b/>
          <w:sz w:val="20"/>
          <w:szCs w:val="20"/>
        </w:rPr>
      </w:pPr>
      <w:r w:rsidRPr="00C0609D">
        <w:rPr>
          <w:rFonts w:ascii="Arial" w:hAnsi="Arial" w:cs="Arial"/>
          <w:b/>
          <w:sz w:val="20"/>
          <w:szCs w:val="20"/>
        </w:rPr>
        <w:t>Graf 1: Ukrepi za povečanje energetske učinkovitosti, ki so jih v letu 2016 izvajale članice EU</w:t>
      </w:r>
    </w:p>
    <w:p w:rsidR="007E71C7" w:rsidRPr="00C0609D" w:rsidRDefault="007E71C7" w:rsidP="00C0609D">
      <w:pPr>
        <w:rPr>
          <w:rFonts w:ascii="Arial" w:hAnsi="Arial" w:cs="Arial"/>
          <w:sz w:val="20"/>
          <w:szCs w:val="20"/>
        </w:rPr>
      </w:pPr>
      <w:r w:rsidRPr="00C0609D">
        <w:rPr>
          <w:rFonts w:ascii="Arial" w:hAnsi="Arial" w:cs="Arial"/>
          <w:sz w:val="20"/>
          <w:szCs w:val="20"/>
        </w:rPr>
        <w:drawing>
          <wp:inline distT="0" distB="0" distL="0" distR="0">
            <wp:extent cx="6564455" cy="2940639"/>
            <wp:effectExtent l="19050" t="0" r="779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569229" cy="2942778"/>
                    </a:xfrm>
                    <a:prstGeom prst="rect">
                      <a:avLst/>
                    </a:prstGeom>
                    <a:noFill/>
                    <a:ln w="9525">
                      <a:noFill/>
                      <a:miter lim="800000"/>
                      <a:headEnd/>
                      <a:tailEnd/>
                    </a:ln>
                  </pic:spPr>
                </pic:pic>
              </a:graphicData>
            </a:graphic>
          </wp:inline>
        </w:drawing>
      </w:r>
    </w:p>
    <w:p w:rsidR="007E71C7" w:rsidRPr="00C0609D" w:rsidRDefault="007E71C7" w:rsidP="00C0609D">
      <w:pPr>
        <w:rPr>
          <w:rFonts w:ascii="Arial" w:hAnsi="Arial" w:cs="Arial"/>
          <w:sz w:val="20"/>
          <w:szCs w:val="20"/>
        </w:rPr>
      </w:pPr>
      <w:r w:rsidRPr="00C0609D">
        <w:rPr>
          <w:rFonts w:ascii="Arial" w:hAnsi="Arial" w:cs="Arial"/>
          <w:sz w:val="20"/>
          <w:szCs w:val="20"/>
        </w:rPr>
        <w:t>Vir: Publikacija</w:t>
      </w:r>
    </w:p>
    <w:p w:rsidR="007E71C7" w:rsidRPr="00C0609D" w:rsidRDefault="00C0609D" w:rsidP="00C0609D">
      <w:pPr>
        <w:rPr>
          <w:rFonts w:ascii="Arial" w:hAnsi="Arial" w:cs="Arial"/>
          <w:sz w:val="20"/>
          <w:szCs w:val="20"/>
        </w:rPr>
      </w:pPr>
      <w:r w:rsidRPr="00C0609D">
        <w:rPr>
          <w:rFonts w:ascii="Arial" w:hAnsi="Arial" w:cs="Arial"/>
          <w:sz w:val="20"/>
          <w:szCs w:val="20"/>
        </w:rPr>
        <w:t xml:space="preserve">V publikaciji piše, da bo za dosego evropskih podnebnih in energetskih ciljev do leta 2030 na leto med letoma 2020 in 2030 treba izvesti za 379 milijard evrov investicij. Večino tega denarja bo treba zbrati za investicije za povečanje energetske učinkovitosti, izrabo obnovljivih virov energije in gradnjo infrastrukture. To pomeni, da bo treba kombinirati javna in zasebna sredstva. Pomembno vlogo bo pri </w:t>
      </w:r>
      <w:r w:rsidRPr="00C0609D">
        <w:rPr>
          <w:rFonts w:ascii="Arial" w:hAnsi="Arial" w:cs="Arial"/>
          <w:sz w:val="20"/>
          <w:szCs w:val="20"/>
        </w:rPr>
        <w:lastRenderedPageBreak/>
        <w:t xml:space="preserve">tem imel tudi Evropski sklad za strateške naložbe (EFSI), ki je steber </w:t>
      </w:r>
      <w:proofErr w:type="spellStart"/>
      <w:r w:rsidRPr="00C0609D">
        <w:rPr>
          <w:rFonts w:ascii="Arial" w:hAnsi="Arial" w:cs="Arial"/>
          <w:sz w:val="20"/>
          <w:szCs w:val="20"/>
        </w:rPr>
        <w:t>Junckerjevega</w:t>
      </w:r>
      <w:proofErr w:type="spellEnd"/>
      <w:r w:rsidRPr="00C0609D">
        <w:rPr>
          <w:rFonts w:ascii="Arial" w:hAnsi="Arial" w:cs="Arial"/>
          <w:sz w:val="20"/>
          <w:szCs w:val="20"/>
        </w:rPr>
        <w:t xml:space="preserve"> naložbenega načrta.</w:t>
      </w:r>
    </w:p>
    <w:p w:rsidR="00C0609D" w:rsidRPr="00C0609D" w:rsidRDefault="00C0609D" w:rsidP="00C0609D">
      <w:pPr>
        <w:rPr>
          <w:rFonts w:ascii="Arial" w:hAnsi="Arial" w:cs="Arial"/>
          <w:b/>
          <w:sz w:val="20"/>
          <w:szCs w:val="20"/>
        </w:rPr>
      </w:pPr>
      <w:r w:rsidRPr="00C0609D">
        <w:rPr>
          <w:rFonts w:ascii="Arial" w:hAnsi="Arial" w:cs="Arial"/>
          <w:b/>
          <w:sz w:val="20"/>
          <w:szCs w:val="20"/>
        </w:rPr>
        <w:t>Koristne informacije:</w:t>
      </w:r>
    </w:p>
    <w:p w:rsidR="00C0609D" w:rsidRPr="00C0609D" w:rsidRDefault="00C0609D" w:rsidP="00C0609D">
      <w:pPr>
        <w:pStyle w:val="Odstavekseznama"/>
        <w:numPr>
          <w:ilvl w:val="0"/>
          <w:numId w:val="1"/>
        </w:numPr>
        <w:rPr>
          <w:rFonts w:ascii="Arial" w:hAnsi="Arial" w:cs="Arial"/>
          <w:sz w:val="20"/>
          <w:szCs w:val="20"/>
        </w:rPr>
      </w:pPr>
      <w:r w:rsidRPr="00C0609D">
        <w:rPr>
          <w:rFonts w:ascii="Arial" w:hAnsi="Arial" w:cs="Arial"/>
          <w:sz w:val="20"/>
          <w:szCs w:val="20"/>
        </w:rPr>
        <w:t>Publikacija:</w:t>
      </w:r>
    </w:p>
    <w:p w:rsidR="00C0609D" w:rsidRPr="00C0609D" w:rsidRDefault="00C0609D" w:rsidP="00C0609D">
      <w:pPr>
        <w:pStyle w:val="Odstavekseznama"/>
        <w:numPr>
          <w:ilvl w:val="0"/>
          <w:numId w:val="1"/>
        </w:numPr>
        <w:rPr>
          <w:rFonts w:ascii="Arial" w:hAnsi="Arial" w:cs="Arial"/>
          <w:sz w:val="20"/>
          <w:szCs w:val="20"/>
        </w:rPr>
      </w:pPr>
      <w:hyperlink r:id="rId7" w:history="1">
        <w:r w:rsidRPr="00C0609D">
          <w:rPr>
            <w:rStyle w:val="Hiperpovezava"/>
            <w:rFonts w:ascii="Arial" w:hAnsi="Arial" w:cs="Arial"/>
            <w:sz w:val="20"/>
            <w:szCs w:val="20"/>
          </w:rPr>
          <w:t>https://ec.europa.eu/energy/sites/ener/files/documents/good_practice_in_ee_-web.pdf</w:t>
        </w:r>
      </w:hyperlink>
    </w:p>
    <w:p w:rsidR="00C0609D" w:rsidRPr="00C0609D" w:rsidRDefault="00C0609D" w:rsidP="00C0609D">
      <w:pPr>
        <w:rPr>
          <w:rFonts w:ascii="Arial" w:hAnsi="Arial" w:cs="Arial"/>
          <w:sz w:val="20"/>
          <w:szCs w:val="20"/>
        </w:rPr>
      </w:pPr>
      <w:r w:rsidRPr="00C0609D">
        <w:rPr>
          <w:rFonts w:ascii="Arial" w:hAnsi="Arial" w:cs="Arial"/>
          <w:sz w:val="20"/>
          <w:szCs w:val="20"/>
        </w:rPr>
        <w:t>Pripravila:</w:t>
      </w:r>
    </w:p>
    <w:p w:rsidR="00C0609D" w:rsidRPr="00C0609D" w:rsidRDefault="00C0609D" w:rsidP="00C0609D">
      <w:pPr>
        <w:rPr>
          <w:rFonts w:ascii="Arial" w:hAnsi="Arial" w:cs="Arial"/>
          <w:sz w:val="20"/>
          <w:szCs w:val="20"/>
        </w:rPr>
      </w:pPr>
      <w:r w:rsidRPr="00C0609D">
        <w:rPr>
          <w:rFonts w:ascii="Arial" w:hAnsi="Arial" w:cs="Arial"/>
          <w:sz w:val="20"/>
          <w:szCs w:val="20"/>
        </w:rPr>
        <w:t>Darja Kocbek</w:t>
      </w:r>
    </w:p>
    <w:sectPr w:rsidR="00C0609D" w:rsidRPr="00C0609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A1EED"/>
    <w:multiLevelType w:val="hybridMultilevel"/>
    <w:tmpl w:val="2E9A2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71C7"/>
    <w:rsid w:val="00494621"/>
    <w:rsid w:val="007E71C7"/>
    <w:rsid w:val="009C6703"/>
    <w:rsid w:val="00B459D4"/>
    <w:rsid w:val="00C0609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C67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E71C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71C7"/>
    <w:rPr>
      <w:rFonts w:ascii="Tahoma" w:hAnsi="Tahoma" w:cs="Tahoma"/>
      <w:sz w:val="16"/>
      <w:szCs w:val="16"/>
    </w:rPr>
  </w:style>
  <w:style w:type="character" w:styleId="Hiperpovezava">
    <w:name w:val="Hyperlink"/>
    <w:basedOn w:val="Privzetapisavaodstavka"/>
    <w:uiPriority w:val="99"/>
    <w:unhideWhenUsed/>
    <w:rsid w:val="00C0609D"/>
    <w:rPr>
      <w:color w:val="0000FF" w:themeColor="hyperlink"/>
      <w:u w:val="single"/>
    </w:rPr>
  </w:style>
  <w:style w:type="paragraph" w:styleId="Odstavekseznama">
    <w:name w:val="List Paragraph"/>
    <w:basedOn w:val="Navaden"/>
    <w:uiPriority w:val="34"/>
    <w:qFormat/>
    <w:rsid w:val="00C0609D"/>
    <w:pPr>
      <w:ind w:left="720"/>
      <w:contextualSpacing/>
    </w:pPr>
  </w:style>
  <w:style w:type="character" w:customStyle="1" w:styleId="Naslov2Znak">
    <w:name w:val="Naslov 2 Znak"/>
    <w:basedOn w:val="Privzetapisavaodstavka"/>
    <w:link w:val="Naslov2"/>
    <w:uiPriority w:val="9"/>
    <w:semiHidden/>
    <w:rsid w:val="009C670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sites/ener/files/documents/good_practice_in_ee_-we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231</Words>
  <Characters>1318</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2017-05-03T14:34:00Z</dcterms:created>
  <dcterms:modified xsi:type="dcterms:W3CDTF">2017-05-03T15:00:00Z</dcterms:modified>
</cp:coreProperties>
</file>