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50E" w:rsidRPr="00467345" w:rsidRDefault="00B4250E" w:rsidP="00B4250E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250E" w:rsidRPr="00301C78" w:rsidRDefault="00B4250E" w:rsidP="00B4250E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B4250E" w:rsidRPr="00083714" w:rsidRDefault="00B4250E" w:rsidP="00B4250E">
      <w:pPr>
        <w:pBdr>
          <w:bottom w:val="single" w:sz="6" w:space="1" w:color="auto"/>
        </w:pBdr>
        <w:tabs>
          <w:tab w:val="left" w:pos="3120"/>
        </w:tabs>
        <w:rPr>
          <w:sz w:val="16"/>
          <w:szCs w:val="16"/>
        </w:rPr>
      </w:pPr>
    </w:p>
    <w:p w:rsidR="00B4250E" w:rsidRDefault="00B4250E" w:rsidP="00B4250E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Občasna informacija članom 74 </w:t>
      </w:r>
      <w:r w:rsidRPr="00083714">
        <w:rPr>
          <w:b/>
        </w:rPr>
        <w:t>– 20</w:t>
      </w:r>
      <w:r>
        <w:rPr>
          <w:b/>
        </w:rPr>
        <w:t>23</w:t>
      </w:r>
    </w:p>
    <w:p w:rsidR="00B4250E" w:rsidRDefault="00B4250E" w:rsidP="00B4250E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01. maj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2958D1" w:rsidRDefault="00B4250E" w:rsidP="00B4250E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Napoved drugega razpisa Evropske urbane pobude - Inovativni ukrepi</w:t>
      </w:r>
    </w:p>
    <w:p w:rsidR="00405C36" w:rsidRPr="002958D1" w:rsidRDefault="00613ABD" w:rsidP="002958D1">
      <w:pPr>
        <w:jc w:val="both"/>
        <w:rPr>
          <w:rFonts w:ascii="Arial" w:hAnsi="Arial" w:cs="Arial"/>
          <w:b/>
          <w:i/>
        </w:rPr>
      </w:pPr>
      <w:r w:rsidRPr="002958D1">
        <w:rPr>
          <w:rFonts w:ascii="Arial" w:hAnsi="Arial" w:cs="Arial"/>
          <w:b/>
          <w:i/>
        </w:rPr>
        <w:t>V maju bo objavljen drugi razpis Evropske urbane pobude (EUI)</w:t>
      </w:r>
      <w:r w:rsidR="00B4250E">
        <w:rPr>
          <w:rFonts w:ascii="Arial" w:hAnsi="Arial" w:cs="Arial"/>
          <w:b/>
          <w:i/>
        </w:rPr>
        <w:t xml:space="preserve"> -</w:t>
      </w:r>
      <w:r w:rsidRPr="002958D1">
        <w:rPr>
          <w:rFonts w:ascii="Arial" w:hAnsi="Arial" w:cs="Arial"/>
          <w:b/>
          <w:i/>
        </w:rPr>
        <w:t xml:space="preserve"> Inovativni ukrepi. Razpisane bodo tri teme, in sicer ozelenitev mest (</w:t>
      </w:r>
      <w:proofErr w:type="spellStart"/>
      <w:r w:rsidRPr="002958D1">
        <w:rPr>
          <w:rFonts w:ascii="Arial" w:hAnsi="Arial" w:cs="Arial"/>
          <w:b/>
          <w:i/>
        </w:rPr>
        <w:t>Greening</w:t>
      </w:r>
      <w:proofErr w:type="spellEnd"/>
      <w:r w:rsidRPr="002958D1">
        <w:rPr>
          <w:rFonts w:ascii="Arial" w:hAnsi="Arial" w:cs="Arial"/>
          <w:b/>
          <w:i/>
        </w:rPr>
        <w:t xml:space="preserve"> </w:t>
      </w:r>
      <w:proofErr w:type="spellStart"/>
      <w:r w:rsidRPr="002958D1">
        <w:rPr>
          <w:rFonts w:ascii="Arial" w:hAnsi="Arial" w:cs="Arial"/>
          <w:b/>
          <w:i/>
        </w:rPr>
        <w:t>cities</w:t>
      </w:r>
      <w:proofErr w:type="spellEnd"/>
      <w:r w:rsidRPr="002958D1">
        <w:rPr>
          <w:rFonts w:ascii="Arial" w:hAnsi="Arial" w:cs="Arial"/>
          <w:b/>
          <w:i/>
        </w:rPr>
        <w:t>), trajnostni turizem (</w:t>
      </w:r>
      <w:proofErr w:type="spellStart"/>
      <w:r w:rsidRPr="002958D1">
        <w:rPr>
          <w:rFonts w:ascii="Arial" w:hAnsi="Arial" w:cs="Arial"/>
          <w:b/>
          <w:i/>
        </w:rPr>
        <w:t>Sustainable</w:t>
      </w:r>
      <w:proofErr w:type="spellEnd"/>
      <w:r w:rsidRPr="002958D1">
        <w:rPr>
          <w:rFonts w:ascii="Arial" w:hAnsi="Arial" w:cs="Arial"/>
          <w:b/>
          <w:i/>
        </w:rPr>
        <w:t xml:space="preserve"> </w:t>
      </w:r>
      <w:proofErr w:type="spellStart"/>
      <w:r w:rsidRPr="002958D1">
        <w:rPr>
          <w:rFonts w:ascii="Arial" w:hAnsi="Arial" w:cs="Arial"/>
          <w:b/>
          <w:i/>
        </w:rPr>
        <w:t>tourism</w:t>
      </w:r>
      <w:proofErr w:type="spellEnd"/>
      <w:r w:rsidRPr="002958D1">
        <w:rPr>
          <w:rFonts w:ascii="Arial" w:hAnsi="Arial" w:cs="Arial"/>
          <w:b/>
          <w:i/>
        </w:rPr>
        <w:t>)  in vključevanje talentov v mestih, kjer se zmanjšuje število prebivalcev (</w:t>
      </w:r>
      <w:proofErr w:type="spellStart"/>
      <w:r w:rsidRPr="002958D1">
        <w:rPr>
          <w:rFonts w:ascii="Arial" w:hAnsi="Arial" w:cs="Arial"/>
          <w:b/>
          <w:i/>
        </w:rPr>
        <w:t>Harnessing</w:t>
      </w:r>
      <w:proofErr w:type="spellEnd"/>
      <w:r w:rsidRPr="002958D1">
        <w:rPr>
          <w:rFonts w:ascii="Arial" w:hAnsi="Arial" w:cs="Arial"/>
          <w:b/>
          <w:i/>
        </w:rPr>
        <w:t xml:space="preserve"> talent in </w:t>
      </w:r>
      <w:proofErr w:type="spellStart"/>
      <w:r w:rsidRPr="002958D1">
        <w:rPr>
          <w:rFonts w:ascii="Arial" w:hAnsi="Arial" w:cs="Arial"/>
          <w:b/>
          <w:i/>
        </w:rPr>
        <w:t>shrinking</w:t>
      </w:r>
      <w:proofErr w:type="spellEnd"/>
      <w:r w:rsidRPr="002958D1">
        <w:rPr>
          <w:rFonts w:ascii="Arial" w:hAnsi="Arial" w:cs="Arial"/>
          <w:b/>
          <w:i/>
        </w:rPr>
        <w:t xml:space="preserve"> </w:t>
      </w:r>
      <w:proofErr w:type="spellStart"/>
      <w:r w:rsidRPr="002958D1">
        <w:rPr>
          <w:rFonts w:ascii="Arial" w:hAnsi="Arial" w:cs="Arial"/>
          <w:b/>
          <w:i/>
        </w:rPr>
        <w:t>cities</w:t>
      </w:r>
      <w:proofErr w:type="spellEnd"/>
      <w:r w:rsidRPr="002958D1">
        <w:rPr>
          <w:rFonts w:ascii="Arial" w:hAnsi="Arial" w:cs="Arial"/>
          <w:b/>
          <w:i/>
        </w:rPr>
        <w:t>). Razpis bodo predstavniki Evropske komisije predstavili na treh seminarjih za prijavitelje.  Eden izmed njih bo 6. julija v Ljubljani. Člani lahko dobijo več informacij tudi na SBRA.</w:t>
      </w:r>
    </w:p>
    <w:p w:rsidR="00613ABD" w:rsidRPr="002958D1" w:rsidRDefault="00C21371" w:rsidP="002958D1">
      <w:pPr>
        <w:jc w:val="both"/>
        <w:rPr>
          <w:rFonts w:ascii="Arial" w:hAnsi="Arial" w:cs="Arial"/>
          <w:b/>
          <w:sz w:val="20"/>
          <w:szCs w:val="20"/>
        </w:rPr>
      </w:pPr>
      <w:r w:rsidRPr="002958D1">
        <w:rPr>
          <w:rFonts w:ascii="Arial" w:hAnsi="Arial" w:cs="Arial"/>
          <w:b/>
          <w:sz w:val="20"/>
          <w:szCs w:val="20"/>
        </w:rPr>
        <w:t>Ozelenitev mest</w:t>
      </w:r>
    </w:p>
    <w:p w:rsidR="00C21371" w:rsidRPr="002958D1" w:rsidRDefault="00C21371" w:rsidP="002958D1">
      <w:pPr>
        <w:jc w:val="both"/>
        <w:rPr>
          <w:rFonts w:ascii="Arial" w:hAnsi="Arial" w:cs="Arial"/>
          <w:sz w:val="20"/>
          <w:szCs w:val="20"/>
        </w:rPr>
      </w:pPr>
      <w:r w:rsidRPr="002958D1">
        <w:rPr>
          <w:rFonts w:ascii="Arial" w:hAnsi="Arial" w:cs="Arial"/>
          <w:sz w:val="20"/>
          <w:szCs w:val="20"/>
        </w:rPr>
        <w:t xml:space="preserve">V okviru te teme namerava Evropska komisija financirati projekte za preskušanje in zagotavljanje oprijemljivih inovativnih rešitev na področju zelene infrastrukture v evropskih mestih. Pričakuje prijave predlogov za boljše reševanje izzivov biotske raznovrstnosti, onesnaževanja, virov in podnebja, vključno z razvojem sinergij z drugimi ključnimi področji politike. </w:t>
      </w:r>
    </w:p>
    <w:p w:rsidR="00C21371" w:rsidRPr="002958D1" w:rsidRDefault="00C21371" w:rsidP="002958D1">
      <w:pPr>
        <w:jc w:val="both"/>
        <w:rPr>
          <w:rFonts w:ascii="Arial" w:hAnsi="Arial" w:cs="Arial"/>
          <w:b/>
          <w:sz w:val="20"/>
          <w:szCs w:val="20"/>
        </w:rPr>
      </w:pPr>
      <w:r w:rsidRPr="002958D1">
        <w:rPr>
          <w:rFonts w:ascii="Arial" w:hAnsi="Arial" w:cs="Arial"/>
          <w:b/>
          <w:sz w:val="20"/>
          <w:szCs w:val="20"/>
        </w:rPr>
        <w:t>Trajnostni turizem</w:t>
      </w:r>
    </w:p>
    <w:p w:rsidR="00C21371" w:rsidRPr="002958D1" w:rsidRDefault="00C21371" w:rsidP="002958D1">
      <w:pPr>
        <w:jc w:val="both"/>
        <w:rPr>
          <w:rFonts w:ascii="Arial" w:hAnsi="Arial" w:cs="Arial"/>
          <w:sz w:val="20"/>
          <w:szCs w:val="20"/>
        </w:rPr>
      </w:pPr>
      <w:r w:rsidRPr="002958D1">
        <w:rPr>
          <w:rFonts w:ascii="Arial" w:hAnsi="Arial" w:cs="Arial"/>
          <w:sz w:val="20"/>
          <w:szCs w:val="20"/>
        </w:rPr>
        <w:t xml:space="preserve">V okviru te treme bodo prišli v poštev za financiranje projekti, ki bodo pripomogli k dolgoročnemu zelenemu in digitalnemu preoblikovanju in povečanju odpornosti turističnega ekosistema. </w:t>
      </w:r>
    </w:p>
    <w:p w:rsidR="00C21371" w:rsidRPr="002958D1" w:rsidRDefault="00C21371" w:rsidP="002958D1">
      <w:pPr>
        <w:jc w:val="both"/>
        <w:rPr>
          <w:rFonts w:ascii="Arial" w:hAnsi="Arial" w:cs="Arial"/>
          <w:b/>
          <w:sz w:val="20"/>
          <w:szCs w:val="20"/>
        </w:rPr>
      </w:pPr>
      <w:r w:rsidRPr="002958D1">
        <w:rPr>
          <w:rFonts w:ascii="Arial" w:hAnsi="Arial" w:cs="Arial"/>
          <w:b/>
          <w:sz w:val="20"/>
          <w:szCs w:val="20"/>
        </w:rPr>
        <w:t>Vključevanje talentov, kjer se zmanjšuje število prebivalcev</w:t>
      </w:r>
    </w:p>
    <w:p w:rsidR="00C21371" w:rsidRPr="002958D1" w:rsidRDefault="00C21371" w:rsidP="002958D1">
      <w:pPr>
        <w:jc w:val="both"/>
        <w:rPr>
          <w:rFonts w:ascii="Arial" w:hAnsi="Arial" w:cs="Arial"/>
          <w:sz w:val="20"/>
          <w:szCs w:val="20"/>
        </w:rPr>
      </w:pPr>
      <w:r w:rsidRPr="002958D1">
        <w:rPr>
          <w:rFonts w:ascii="Arial" w:hAnsi="Arial" w:cs="Arial"/>
          <w:sz w:val="20"/>
          <w:szCs w:val="20"/>
        </w:rPr>
        <w:t>Zlasti v regijah, ki jih je opredelila v sporočilu »Izkoriščanje talentov v evropskih regijah«, bo Evropska komisija v okviru te teme podprla projekte za preskušanje novih rešitev za ohranjanje in privabljanje talentov. Namen razpisa je opredeliti celostne pilotne projekte, ki vključujejo lokalne skupnosti v eksperimentiranje in obravnavajo gospodarske, družbene in okoljske razsežnosti demografskih izzivov na način, ki bi lahko spodbudil uporabo programov kohezijske politike na teh mestnih območjih.</w:t>
      </w:r>
    </w:p>
    <w:p w:rsidR="00C21371" w:rsidRPr="002958D1" w:rsidRDefault="00C21371" w:rsidP="002958D1">
      <w:pPr>
        <w:jc w:val="both"/>
        <w:rPr>
          <w:rFonts w:ascii="Arial" w:hAnsi="Arial" w:cs="Arial"/>
          <w:b/>
          <w:sz w:val="20"/>
          <w:szCs w:val="20"/>
        </w:rPr>
      </w:pPr>
      <w:r w:rsidRPr="002958D1">
        <w:rPr>
          <w:rFonts w:ascii="Arial" w:hAnsi="Arial" w:cs="Arial"/>
          <w:b/>
          <w:sz w:val="20"/>
          <w:szCs w:val="20"/>
        </w:rPr>
        <w:t>Koristne informacije:</w:t>
      </w:r>
    </w:p>
    <w:p w:rsidR="00C21371" w:rsidRPr="002958D1" w:rsidRDefault="00C21371" w:rsidP="002958D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958D1">
        <w:rPr>
          <w:rFonts w:ascii="Arial" w:hAnsi="Arial" w:cs="Arial"/>
          <w:sz w:val="20"/>
          <w:szCs w:val="20"/>
        </w:rPr>
        <w:t>Spletna stran z napovedjo razpisa in priporočili za pripravo projektov ter napovedjo seminarjev za prijavitelje:</w:t>
      </w:r>
    </w:p>
    <w:p w:rsidR="00C21371" w:rsidRPr="002958D1" w:rsidRDefault="00C21371" w:rsidP="002958D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2958D1">
          <w:rPr>
            <w:rStyle w:val="Hiperpovezava"/>
            <w:rFonts w:ascii="Arial" w:hAnsi="Arial" w:cs="Arial"/>
            <w:sz w:val="20"/>
            <w:szCs w:val="20"/>
          </w:rPr>
          <w:t>https://www.urban-initiative.eu/calls-proposals/second-call-proposals-innovative-actions</w:t>
        </w:r>
      </w:hyperlink>
    </w:p>
    <w:p w:rsidR="00C21371" w:rsidRPr="002958D1" w:rsidRDefault="00C21371" w:rsidP="002958D1">
      <w:pPr>
        <w:spacing w:after="0"/>
        <w:jc w:val="both"/>
        <w:rPr>
          <w:rFonts w:ascii="Arial" w:hAnsi="Arial" w:cs="Arial"/>
          <w:sz w:val="20"/>
          <w:szCs w:val="20"/>
        </w:rPr>
      </w:pPr>
      <w:r w:rsidRPr="002958D1">
        <w:rPr>
          <w:rFonts w:ascii="Arial" w:hAnsi="Arial" w:cs="Arial"/>
          <w:sz w:val="20"/>
          <w:szCs w:val="20"/>
        </w:rPr>
        <w:t>Pripravila:</w:t>
      </w:r>
      <w:r w:rsidR="00B4250E">
        <w:rPr>
          <w:rFonts w:ascii="Arial" w:hAnsi="Arial" w:cs="Arial"/>
          <w:sz w:val="20"/>
          <w:szCs w:val="20"/>
        </w:rPr>
        <w:t xml:space="preserve"> </w:t>
      </w:r>
      <w:r w:rsidRPr="002958D1">
        <w:rPr>
          <w:rFonts w:ascii="Arial" w:hAnsi="Arial" w:cs="Arial"/>
          <w:sz w:val="20"/>
          <w:szCs w:val="20"/>
        </w:rPr>
        <w:t>Darja Kocbek</w:t>
      </w:r>
    </w:p>
    <w:sectPr w:rsidR="00C21371" w:rsidRPr="002958D1" w:rsidSect="00405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B71D8"/>
    <w:multiLevelType w:val="hybridMultilevel"/>
    <w:tmpl w:val="6106AE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3ABD"/>
    <w:rsid w:val="002958D1"/>
    <w:rsid w:val="00405C36"/>
    <w:rsid w:val="00613ABD"/>
    <w:rsid w:val="00B4250E"/>
    <w:rsid w:val="00C21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36"/>
  </w:style>
  <w:style w:type="paragraph" w:styleId="Naslov2">
    <w:name w:val="heading 2"/>
    <w:basedOn w:val="Navaden"/>
    <w:link w:val="Naslov2Znak"/>
    <w:uiPriority w:val="9"/>
    <w:qFormat/>
    <w:rsid w:val="00B425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21371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2958D1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B4250E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42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425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rban-initiative.eu/calls-proposals/second-call-proposals-innovative-action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325</Words>
  <Characters>1854</Characters>
  <Application>Microsoft Office Word</Application>
  <DocSecurity>0</DocSecurity>
  <Lines>15</Lines>
  <Paragraphs>4</Paragraphs>
  <ScaleCrop>false</ScaleCrop>
  <Company>HP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2023-04-26T14:29:00Z</dcterms:created>
  <dcterms:modified xsi:type="dcterms:W3CDTF">2023-04-26T14:53:00Z</dcterms:modified>
</cp:coreProperties>
</file>