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79" w:rsidRPr="00467345" w:rsidRDefault="004D3979" w:rsidP="004D397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D3979" w:rsidRPr="00301C78" w:rsidRDefault="004D3979" w:rsidP="004D3979">
      <w:pPr>
        <w:pStyle w:val="Naslov2"/>
        <w:tabs>
          <w:tab w:val="left" w:pos="3120"/>
        </w:tabs>
        <w:spacing w:before="0"/>
        <w:jc w:val="center"/>
        <w:rPr>
          <w:sz w:val="22"/>
        </w:rPr>
      </w:pPr>
      <w:r w:rsidRPr="00083714">
        <w:rPr>
          <w:sz w:val="22"/>
        </w:rPr>
        <w:t>Slovensko gospodarsko in raziskovalno združenje, Bruselj</w:t>
      </w:r>
    </w:p>
    <w:p w:rsidR="004D3979" w:rsidRPr="00083714" w:rsidRDefault="004D3979" w:rsidP="004D3979">
      <w:pPr>
        <w:pBdr>
          <w:bottom w:val="single" w:sz="6" w:space="1" w:color="auto"/>
        </w:pBdr>
        <w:tabs>
          <w:tab w:val="left" w:pos="3120"/>
        </w:tabs>
        <w:rPr>
          <w:sz w:val="16"/>
          <w:szCs w:val="16"/>
        </w:rPr>
      </w:pPr>
    </w:p>
    <w:p w:rsidR="004D3979" w:rsidRDefault="004D3979" w:rsidP="004D3979">
      <w:pPr>
        <w:tabs>
          <w:tab w:val="left" w:pos="3120"/>
        </w:tabs>
        <w:jc w:val="center"/>
        <w:rPr>
          <w:b/>
        </w:rPr>
      </w:pPr>
      <w:r>
        <w:rPr>
          <w:b/>
        </w:rPr>
        <w:t xml:space="preserve">Občasna informacija članom 69 </w:t>
      </w:r>
      <w:r w:rsidRPr="00083714">
        <w:rPr>
          <w:b/>
        </w:rPr>
        <w:t>– 20</w:t>
      </w:r>
      <w:r>
        <w:rPr>
          <w:b/>
        </w:rPr>
        <w:t>23</w:t>
      </w:r>
    </w:p>
    <w:p w:rsidR="004D3979" w:rsidRDefault="004D3979" w:rsidP="004D3979">
      <w:pPr>
        <w:tabs>
          <w:tab w:val="left" w:pos="3120"/>
        </w:tabs>
        <w:jc w:val="center"/>
        <w:rPr>
          <w:b/>
        </w:rPr>
      </w:pPr>
      <w:r>
        <w:rPr>
          <w:b/>
        </w:rPr>
        <w:t xml:space="preserve">24. april </w:t>
      </w:r>
      <w:r w:rsidRPr="00083714">
        <w:rPr>
          <w:b/>
        </w:rPr>
        <w:t xml:space="preserve"> 20</w:t>
      </w:r>
      <w:r>
        <w:rPr>
          <w:b/>
        </w:rPr>
        <w:t>23</w:t>
      </w:r>
    </w:p>
    <w:p w:rsidR="004D3979" w:rsidRDefault="004224AB" w:rsidP="004224AB">
      <w:pPr>
        <w:jc w:val="center"/>
        <w:rPr>
          <w:rFonts w:ascii="Arial" w:hAnsi="Arial" w:cs="Arial"/>
          <w:b/>
          <w:i/>
        </w:rPr>
      </w:pPr>
      <w:r>
        <w:rPr>
          <w:b/>
          <w:color w:val="993300"/>
          <w:sz w:val="32"/>
          <w:szCs w:val="32"/>
        </w:rPr>
        <w:t>Potrjen je dogovor o zakonodajnih aktih v okviru svežnja Pripravljeni na 55 do leta 2030</w:t>
      </w:r>
    </w:p>
    <w:p w:rsidR="00833BDB" w:rsidRPr="004D3979" w:rsidRDefault="00833BDB" w:rsidP="004D3979">
      <w:pPr>
        <w:jc w:val="both"/>
        <w:rPr>
          <w:rFonts w:ascii="Arial" w:hAnsi="Arial" w:cs="Arial"/>
          <w:b/>
          <w:i/>
        </w:rPr>
      </w:pPr>
      <w:r w:rsidRPr="004D3979">
        <w:rPr>
          <w:rFonts w:ascii="Arial" w:hAnsi="Arial" w:cs="Arial"/>
          <w:b/>
          <w:i/>
        </w:rPr>
        <w:t>Evropski parlament je potrdil dogovor o zakonodajnih aktih v okviru svežnja Pripravljeni na 55 do leta 2030. To so reforma sistema trgovanja z emisijami, uvedba novega instrumenta za selitev virov CO2 in socialni sklad za podnebje za boj proti energijski revščini. Potrjena je postopna opustitev brezplačnih pravic v sistemu trgovanja z emisijami do leta 2026, od leta 2027 bodo v nov sistem trgovanja z emisijami II vključene tudi stavbe in cestni promet</w:t>
      </w:r>
      <w:r w:rsidR="004224AB">
        <w:rPr>
          <w:rFonts w:ascii="Arial" w:hAnsi="Arial" w:cs="Arial"/>
          <w:b/>
          <w:i/>
        </w:rPr>
        <w:t>. Člani lahko dobi</w:t>
      </w:r>
      <w:r w:rsidRPr="004D3979">
        <w:rPr>
          <w:rFonts w:ascii="Arial" w:hAnsi="Arial" w:cs="Arial"/>
          <w:b/>
          <w:i/>
        </w:rPr>
        <w:t>jo več informacij na SBRA.</w:t>
      </w:r>
    </w:p>
    <w:p w:rsidR="00AF79A7" w:rsidRPr="004D3979" w:rsidRDefault="00AF79A7" w:rsidP="004D3979">
      <w:pPr>
        <w:jc w:val="both"/>
        <w:rPr>
          <w:rFonts w:ascii="Arial" w:hAnsi="Arial" w:cs="Arial"/>
          <w:b/>
          <w:sz w:val="20"/>
          <w:szCs w:val="20"/>
        </w:rPr>
      </w:pPr>
      <w:r w:rsidRPr="004D3979">
        <w:rPr>
          <w:rFonts w:ascii="Arial" w:hAnsi="Arial" w:cs="Arial"/>
          <w:b/>
          <w:sz w:val="20"/>
          <w:szCs w:val="20"/>
        </w:rPr>
        <w:t>Reforma sistema trgovanja z emisijami</w:t>
      </w:r>
    </w:p>
    <w:p w:rsidR="00AF79A7" w:rsidRPr="004D3979" w:rsidRDefault="00AF79A7" w:rsidP="004D3979">
      <w:pPr>
        <w:jc w:val="both"/>
        <w:rPr>
          <w:rFonts w:ascii="Arial" w:hAnsi="Arial" w:cs="Arial"/>
          <w:sz w:val="20"/>
          <w:szCs w:val="20"/>
        </w:rPr>
      </w:pPr>
      <w:r w:rsidRPr="004D3979">
        <w:rPr>
          <w:rFonts w:ascii="Arial" w:hAnsi="Arial" w:cs="Arial"/>
          <w:sz w:val="20"/>
          <w:szCs w:val="20"/>
        </w:rPr>
        <w:t>Reforma vključuje tudi postopno opustitev brezplačnih pravic za podjetja v obdobju od leta 2026 do leta 2034. Uveden bo nov sistem trgovanja z emisijami II za gorivo za cestni promet in stavbe. Nov sistem bo začel delovati leta 2027 oziroma leta 2028, če bodo cene energije zelo visoke.</w:t>
      </w:r>
    </w:p>
    <w:p w:rsidR="00AF79A7" w:rsidRPr="004D3979" w:rsidRDefault="00AF79A7" w:rsidP="004D3979">
      <w:pPr>
        <w:jc w:val="both"/>
        <w:rPr>
          <w:rFonts w:ascii="Arial" w:hAnsi="Arial" w:cs="Arial"/>
          <w:b/>
          <w:sz w:val="20"/>
          <w:szCs w:val="20"/>
        </w:rPr>
      </w:pPr>
      <w:r w:rsidRPr="004D3979">
        <w:rPr>
          <w:rFonts w:ascii="Arial" w:hAnsi="Arial" w:cs="Arial"/>
          <w:b/>
          <w:sz w:val="20"/>
          <w:szCs w:val="20"/>
        </w:rPr>
        <w:t>Uvedba novega instrumenta za selitev virov CO2</w:t>
      </w:r>
    </w:p>
    <w:p w:rsidR="004224AB" w:rsidRDefault="00AF79A7" w:rsidP="004D3979">
      <w:pPr>
        <w:jc w:val="both"/>
        <w:rPr>
          <w:rFonts w:ascii="Arial" w:hAnsi="Arial" w:cs="Arial"/>
          <w:sz w:val="20"/>
          <w:szCs w:val="20"/>
        </w:rPr>
      </w:pPr>
      <w:r w:rsidRPr="004D3979">
        <w:rPr>
          <w:rFonts w:ascii="Arial" w:hAnsi="Arial" w:cs="Arial"/>
          <w:sz w:val="20"/>
          <w:szCs w:val="20"/>
        </w:rPr>
        <w:t xml:space="preserve">Mehanizem za </w:t>
      </w:r>
      <w:proofErr w:type="spellStart"/>
      <w:r w:rsidRPr="004D3979">
        <w:rPr>
          <w:rFonts w:ascii="Arial" w:hAnsi="Arial" w:cs="Arial"/>
          <w:sz w:val="20"/>
          <w:szCs w:val="20"/>
        </w:rPr>
        <w:t>ogljično</w:t>
      </w:r>
      <w:proofErr w:type="spellEnd"/>
      <w:r w:rsidRPr="004D3979">
        <w:rPr>
          <w:rFonts w:ascii="Arial" w:hAnsi="Arial" w:cs="Arial"/>
          <w:sz w:val="20"/>
          <w:szCs w:val="20"/>
        </w:rPr>
        <w:t xml:space="preserve"> prilagoditev na mejah se bo uporabljal za blago, kot je železo, jeklo, cement, gnojila, aluminij, elektrika in vodik, pod določenimi pogoji pa tudi za posredne emisije. Uvozniki tega blaga bodo morali plačati razliko med ceno ogljika v državi proizvodnje in ceno emisijskih pravic v sistemu Unije za trgovanje z emisijami. Mehanizem za </w:t>
      </w:r>
      <w:proofErr w:type="spellStart"/>
      <w:r w:rsidRPr="004D3979">
        <w:rPr>
          <w:rFonts w:ascii="Arial" w:hAnsi="Arial" w:cs="Arial"/>
          <w:sz w:val="20"/>
          <w:szCs w:val="20"/>
        </w:rPr>
        <w:t>ogljično</w:t>
      </w:r>
      <w:proofErr w:type="spellEnd"/>
      <w:r w:rsidRPr="004D3979">
        <w:rPr>
          <w:rFonts w:ascii="Arial" w:hAnsi="Arial" w:cs="Arial"/>
          <w:sz w:val="20"/>
          <w:szCs w:val="20"/>
        </w:rPr>
        <w:t xml:space="preserve"> prilagoditev na mejah bo postopno uveden med letoma 2026 in 2034. </w:t>
      </w:r>
    </w:p>
    <w:p w:rsidR="00AF79A7" w:rsidRPr="004D3979" w:rsidRDefault="00AF79A7" w:rsidP="004D3979">
      <w:pPr>
        <w:jc w:val="both"/>
        <w:rPr>
          <w:rFonts w:ascii="Arial" w:hAnsi="Arial" w:cs="Arial"/>
          <w:b/>
          <w:sz w:val="20"/>
          <w:szCs w:val="20"/>
        </w:rPr>
      </w:pPr>
      <w:r w:rsidRPr="004D3979">
        <w:rPr>
          <w:rFonts w:ascii="Arial" w:hAnsi="Arial" w:cs="Arial"/>
          <w:b/>
          <w:sz w:val="20"/>
          <w:szCs w:val="20"/>
        </w:rPr>
        <w:t>Socialni sklad za podnebje za boj proti energijski revščini</w:t>
      </w:r>
    </w:p>
    <w:p w:rsidR="00AF79A7" w:rsidRPr="004D3979" w:rsidRDefault="00AF79A7" w:rsidP="004D3979">
      <w:pPr>
        <w:jc w:val="both"/>
        <w:rPr>
          <w:rFonts w:ascii="Arial" w:hAnsi="Arial" w:cs="Arial"/>
          <w:sz w:val="20"/>
          <w:szCs w:val="20"/>
        </w:rPr>
      </w:pPr>
      <w:r w:rsidRPr="004D3979">
        <w:rPr>
          <w:rFonts w:ascii="Arial" w:hAnsi="Arial" w:cs="Arial"/>
          <w:sz w:val="20"/>
          <w:szCs w:val="20"/>
        </w:rPr>
        <w:t>Socialni sklad za podnebje bo iz prodaje pravic iz sistema trgovanja z emisijami II prejel 65 milijard evrov, iz nacionalnih virov pa še dodatnih 25 odstotkov, kar naj bi po ocenah znašalo 86,7 milijarde evrov.</w:t>
      </w:r>
    </w:p>
    <w:p w:rsidR="00AF79A7" w:rsidRPr="004D3979" w:rsidRDefault="00AF79A7" w:rsidP="004D3979">
      <w:pPr>
        <w:jc w:val="both"/>
        <w:rPr>
          <w:rFonts w:ascii="Arial" w:hAnsi="Arial" w:cs="Arial"/>
          <w:b/>
          <w:sz w:val="20"/>
          <w:szCs w:val="20"/>
        </w:rPr>
      </w:pPr>
      <w:r w:rsidRPr="004D3979">
        <w:rPr>
          <w:rFonts w:ascii="Arial" w:hAnsi="Arial" w:cs="Arial"/>
          <w:b/>
          <w:sz w:val="20"/>
          <w:szCs w:val="20"/>
        </w:rPr>
        <w:t>Koristne informacije:</w:t>
      </w:r>
    </w:p>
    <w:p w:rsidR="00AF79A7" w:rsidRPr="004D3979" w:rsidRDefault="00AF79A7" w:rsidP="004D3979">
      <w:pPr>
        <w:pStyle w:val="Odstavekseznama"/>
        <w:numPr>
          <w:ilvl w:val="0"/>
          <w:numId w:val="1"/>
        </w:numPr>
        <w:jc w:val="both"/>
        <w:rPr>
          <w:rFonts w:ascii="Arial" w:hAnsi="Arial" w:cs="Arial"/>
          <w:sz w:val="20"/>
          <w:szCs w:val="20"/>
        </w:rPr>
      </w:pPr>
      <w:r w:rsidRPr="004D3979">
        <w:rPr>
          <w:rFonts w:ascii="Arial" w:hAnsi="Arial" w:cs="Arial"/>
          <w:sz w:val="20"/>
          <w:szCs w:val="20"/>
        </w:rPr>
        <w:t>Sprejeti dokumenti:</w:t>
      </w:r>
    </w:p>
    <w:p w:rsidR="00AF79A7" w:rsidRPr="004D3979" w:rsidRDefault="00AF79A7" w:rsidP="004D3979">
      <w:pPr>
        <w:pStyle w:val="Odstavekseznama"/>
        <w:numPr>
          <w:ilvl w:val="0"/>
          <w:numId w:val="1"/>
        </w:numPr>
        <w:jc w:val="both"/>
        <w:rPr>
          <w:rFonts w:ascii="Arial" w:hAnsi="Arial" w:cs="Arial"/>
          <w:sz w:val="20"/>
          <w:szCs w:val="20"/>
        </w:rPr>
      </w:pPr>
      <w:hyperlink r:id="rId6" w:history="1">
        <w:r w:rsidRPr="004D3979">
          <w:rPr>
            <w:rStyle w:val="Hiperpovezava"/>
            <w:rFonts w:ascii="Arial" w:hAnsi="Arial" w:cs="Arial"/>
            <w:sz w:val="20"/>
            <w:szCs w:val="20"/>
          </w:rPr>
          <w:t>https://www.europarl.europa.eu/doceo/document/TA-9-2023-04-18-TOC_SL.html</w:t>
        </w:r>
      </w:hyperlink>
    </w:p>
    <w:p w:rsidR="00AF79A7" w:rsidRPr="004D3979" w:rsidRDefault="00AF79A7" w:rsidP="004D3979">
      <w:pPr>
        <w:spacing w:after="0"/>
        <w:jc w:val="both"/>
        <w:rPr>
          <w:rFonts w:ascii="Arial" w:hAnsi="Arial" w:cs="Arial"/>
          <w:sz w:val="20"/>
          <w:szCs w:val="20"/>
        </w:rPr>
      </w:pPr>
      <w:r w:rsidRPr="004D3979">
        <w:rPr>
          <w:rFonts w:ascii="Arial" w:hAnsi="Arial" w:cs="Arial"/>
          <w:sz w:val="20"/>
          <w:szCs w:val="20"/>
        </w:rPr>
        <w:t>Pripravila:</w:t>
      </w:r>
      <w:r w:rsidR="004224AB">
        <w:rPr>
          <w:rFonts w:ascii="Arial" w:hAnsi="Arial" w:cs="Arial"/>
          <w:sz w:val="20"/>
          <w:szCs w:val="20"/>
        </w:rPr>
        <w:t xml:space="preserve"> </w:t>
      </w:r>
      <w:r w:rsidRPr="004D3979">
        <w:rPr>
          <w:rFonts w:ascii="Arial" w:hAnsi="Arial" w:cs="Arial"/>
          <w:sz w:val="20"/>
          <w:szCs w:val="20"/>
        </w:rPr>
        <w:t>Darja Kocbek</w:t>
      </w:r>
    </w:p>
    <w:p w:rsidR="003C79DD" w:rsidRDefault="003C79DD" w:rsidP="004D3979">
      <w:pPr>
        <w:spacing w:after="0"/>
      </w:pPr>
    </w:p>
    <w:sectPr w:rsidR="003C79DD" w:rsidSect="003C79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F2FC5"/>
    <w:multiLevelType w:val="hybridMultilevel"/>
    <w:tmpl w:val="AB9E81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3BDB"/>
    <w:rsid w:val="003C79DD"/>
    <w:rsid w:val="004224AB"/>
    <w:rsid w:val="004D3979"/>
    <w:rsid w:val="00833BDB"/>
    <w:rsid w:val="00AF79A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C79DD"/>
  </w:style>
  <w:style w:type="paragraph" w:styleId="Naslov2">
    <w:name w:val="heading 2"/>
    <w:basedOn w:val="Navaden"/>
    <w:link w:val="Naslov2Znak"/>
    <w:uiPriority w:val="9"/>
    <w:qFormat/>
    <w:rsid w:val="004D397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33BDB"/>
    <w:rPr>
      <w:color w:val="0000FF"/>
      <w:u w:val="single"/>
    </w:rPr>
  </w:style>
  <w:style w:type="character" w:styleId="Krepko">
    <w:name w:val="Strong"/>
    <w:basedOn w:val="Privzetapisavaodstavka"/>
    <w:uiPriority w:val="22"/>
    <w:qFormat/>
    <w:rsid w:val="00833BDB"/>
    <w:rPr>
      <w:b/>
      <w:bCs/>
    </w:rPr>
  </w:style>
  <w:style w:type="character" w:customStyle="1" w:styleId="epname">
    <w:name w:val="ep_name"/>
    <w:basedOn w:val="Privzetapisavaodstavka"/>
    <w:rsid w:val="00833BDB"/>
  </w:style>
  <w:style w:type="character" w:customStyle="1" w:styleId="epicon">
    <w:name w:val="ep_icon"/>
    <w:basedOn w:val="Privzetapisavaodstavka"/>
    <w:rsid w:val="00833BDB"/>
  </w:style>
  <w:style w:type="paragraph" w:customStyle="1" w:styleId="ep-wysiwigparagraph">
    <w:name w:val="ep-wysiwig_paragraph"/>
    <w:basedOn w:val="Navaden"/>
    <w:rsid w:val="00AF79A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4D3979"/>
    <w:pPr>
      <w:ind w:left="720"/>
      <w:contextualSpacing/>
    </w:pPr>
  </w:style>
  <w:style w:type="character" w:customStyle="1" w:styleId="Naslov2Znak">
    <w:name w:val="Naslov 2 Znak"/>
    <w:basedOn w:val="Privzetapisavaodstavka"/>
    <w:link w:val="Naslov2"/>
    <w:uiPriority w:val="9"/>
    <w:rsid w:val="004D397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4D397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D39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8845631">
      <w:bodyDiv w:val="1"/>
      <w:marLeft w:val="0"/>
      <w:marRight w:val="0"/>
      <w:marTop w:val="0"/>
      <w:marBottom w:val="0"/>
      <w:divBdr>
        <w:top w:val="none" w:sz="0" w:space="0" w:color="auto"/>
        <w:left w:val="none" w:sz="0" w:space="0" w:color="auto"/>
        <w:bottom w:val="none" w:sz="0" w:space="0" w:color="auto"/>
        <w:right w:val="none" w:sz="0" w:space="0" w:color="auto"/>
      </w:divBdr>
    </w:div>
    <w:div w:id="209462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arl.europa.eu/doceo/document/TA-9-2023-04-18-TOC_SL.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300</Words>
  <Characters>1711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2023-04-19T13:48:00Z</dcterms:created>
  <dcterms:modified xsi:type="dcterms:W3CDTF">2023-04-19T14:03:00Z</dcterms:modified>
</cp:coreProperties>
</file>