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AB9" w:rsidRPr="00467345" w:rsidRDefault="00F31AB9" w:rsidP="00F31AB9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4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AB9" w:rsidRPr="00301C78" w:rsidRDefault="00F31AB9" w:rsidP="00F31AB9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F31AB9" w:rsidRPr="00083714" w:rsidRDefault="00F31AB9" w:rsidP="00F31AB9">
      <w:pPr>
        <w:pBdr>
          <w:bottom w:val="single" w:sz="6" w:space="1" w:color="auto"/>
        </w:pBdr>
        <w:tabs>
          <w:tab w:val="left" w:pos="3120"/>
        </w:tabs>
        <w:rPr>
          <w:sz w:val="16"/>
          <w:szCs w:val="16"/>
        </w:rPr>
      </w:pPr>
    </w:p>
    <w:p w:rsidR="00F31AB9" w:rsidRDefault="00F31AB9" w:rsidP="00F31AB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Občasna informacija članom 67 </w:t>
      </w:r>
      <w:r w:rsidRPr="00083714">
        <w:rPr>
          <w:b/>
        </w:rPr>
        <w:t>– 20</w:t>
      </w:r>
      <w:r>
        <w:rPr>
          <w:b/>
        </w:rPr>
        <w:t>23</w:t>
      </w:r>
    </w:p>
    <w:p w:rsidR="00F31AB9" w:rsidRDefault="00F31AB9" w:rsidP="00F31AB9">
      <w:pPr>
        <w:tabs>
          <w:tab w:val="left" w:pos="3120"/>
        </w:tabs>
        <w:jc w:val="center"/>
        <w:rPr>
          <w:b/>
        </w:rPr>
      </w:pPr>
      <w:r>
        <w:rPr>
          <w:b/>
        </w:rPr>
        <w:t xml:space="preserve">17. april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F31AB9" w:rsidRDefault="00F31AB9" w:rsidP="00F31AB9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 xml:space="preserve">Projekt GALACTICA je zgleden primer </w:t>
      </w:r>
      <w:proofErr w:type="spellStart"/>
      <w:r>
        <w:rPr>
          <w:b/>
          <w:color w:val="993300"/>
          <w:sz w:val="32"/>
          <w:szCs w:val="32"/>
        </w:rPr>
        <w:t>medr</w:t>
      </w:r>
      <w:r w:rsidR="00A343B0">
        <w:rPr>
          <w:b/>
          <w:color w:val="993300"/>
          <w:sz w:val="32"/>
          <w:szCs w:val="32"/>
        </w:rPr>
        <w:t>egijskega</w:t>
      </w:r>
      <w:proofErr w:type="spellEnd"/>
      <w:r w:rsidR="00A343B0">
        <w:rPr>
          <w:b/>
          <w:color w:val="993300"/>
          <w:sz w:val="32"/>
          <w:szCs w:val="32"/>
        </w:rPr>
        <w:t xml:space="preserve"> pa</w:t>
      </w:r>
      <w:r>
        <w:rPr>
          <w:b/>
          <w:color w:val="993300"/>
          <w:sz w:val="32"/>
          <w:szCs w:val="32"/>
        </w:rPr>
        <w:t xml:space="preserve">rtnerstva </w:t>
      </w:r>
    </w:p>
    <w:p w:rsidR="00FB63DC" w:rsidRPr="00F31AB9" w:rsidRDefault="00594987" w:rsidP="00F31AB9">
      <w:pPr>
        <w:jc w:val="both"/>
        <w:rPr>
          <w:rFonts w:ascii="Arial" w:hAnsi="Arial" w:cs="Arial"/>
          <w:b/>
          <w:i/>
        </w:rPr>
      </w:pPr>
      <w:r w:rsidRPr="00F31AB9">
        <w:rPr>
          <w:rFonts w:ascii="Arial" w:hAnsi="Arial" w:cs="Arial"/>
          <w:b/>
          <w:i/>
        </w:rPr>
        <w:t xml:space="preserve">Evropska komisija predstavlja projekt GALACTICA kot </w:t>
      </w:r>
      <w:proofErr w:type="spellStart"/>
      <w:r w:rsidRPr="00F31AB9">
        <w:rPr>
          <w:rFonts w:ascii="Arial" w:hAnsi="Arial" w:cs="Arial"/>
          <w:b/>
          <w:i/>
        </w:rPr>
        <w:t>medregijsko</w:t>
      </w:r>
      <w:proofErr w:type="spellEnd"/>
      <w:r w:rsidRPr="00F31AB9">
        <w:rPr>
          <w:rFonts w:ascii="Arial" w:hAnsi="Arial" w:cs="Arial"/>
          <w:b/>
          <w:i/>
        </w:rPr>
        <w:t xml:space="preserve"> partnerstvo. Vključeval je osem inovacijskih grozdov iz napredne proizvodne, vesoljske in tekstilne industrije, eno mrežo vlagateljev ter en podjetniški inkubator in pospeševalnik. </w:t>
      </w:r>
      <w:r w:rsidR="00662CBE" w:rsidRPr="00F31AB9">
        <w:rPr>
          <w:rFonts w:ascii="Arial" w:hAnsi="Arial" w:cs="Arial"/>
          <w:b/>
          <w:i/>
        </w:rPr>
        <w:t>Cilj projekta je bil spodbuditi ustvarjanje neznanih ali neraziskanih tržnih priložnosti za obstoječa in nova podjetja v razvoju latentnih in nastajajočih vrednostnih verig. Z združevanjem podjetij iz različnih industrijskih sektorjev, raziskovalnih in razvojnih organizacij, grozdov ter sprožanjem pobud za vzpostavitev novih vrednostnih verig v tekstilni in letalski industriji so partnerji iskali rešitve za odpravo informacijskih in tržnih pomanjkljivosti.</w:t>
      </w:r>
    </w:p>
    <w:p w:rsidR="00662CBE" w:rsidRPr="00F31AB9" w:rsidRDefault="00CD5F8D" w:rsidP="00F31AB9">
      <w:pPr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Znanje, izkušnje in metodologije, ki so jih pridobili med projektom, so partnerji zbrali v priročniku za grozde in druge organizacije. V priročniku so zbrane dobre prakse v zvezi s štirimi ključnimi temami, ki veljajo za zelo pomembne pri upravljanju in izvajanju projekta EU, vključno s kaskadnim financiranjem.</w:t>
      </w:r>
    </w:p>
    <w:p w:rsidR="00936362" w:rsidRPr="00F31AB9" w:rsidRDefault="00936362" w:rsidP="00F31AB9">
      <w:pPr>
        <w:jc w:val="both"/>
        <w:rPr>
          <w:rFonts w:ascii="Arial" w:hAnsi="Arial" w:cs="Arial"/>
          <w:b/>
          <w:sz w:val="20"/>
          <w:szCs w:val="20"/>
        </w:rPr>
      </w:pPr>
      <w:r w:rsidRPr="00F31AB9">
        <w:rPr>
          <w:rFonts w:ascii="Arial" w:hAnsi="Arial" w:cs="Arial"/>
          <w:b/>
          <w:sz w:val="20"/>
          <w:szCs w:val="20"/>
        </w:rPr>
        <w:t xml:space="preserve">Tabela 1: Teme, ki so jih </w:t>
      </w:r>
      <w:r w:rsidR="00F31AB9" w:rsidRPr="00F31AB9">
        <w:rPr>
          <w:rFonts w:ascii="Arial" w:hAnsi="Arial" w:cs="Arial"/>
          <w:b/>
          <w:sz w:val="20"/>
          <w:szCs w:val="20"/>
        </w:rPr>
        <w:t>predstavili</w:t>
      </w:r>
      <w:r w:rsidRPr="00F31AB9">
        <w:rPr>
          <w:rFonts w:ascii="Arial" w:hAnsi="Arial" w:cs="Arial"/>
          <w:b/>
          <w:sz w:val="20"/>
          <w:szCs w:val="20"/>
        </w:rPr>
        <w:t xml:space="preserve"> v priročniku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936362" w:rsidRPr="00F31AB9" w:rsidTr="00936362">
        <w:tc>
          <w:tcPr>
            <w:tcW w:w="9212" w:type="dxa"/>
          </w:tcPr>
          <w:p w:rsidR="00936362" w:rsidRPr="00F31AB9" w:rsidRDefault="00936362" w:rsidP="00F31A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31AB9">
              <w:rPr>
                <w:rFonts w:ascii="Arial" w:hAnsi="Arial" w:cs="Arial"/>
                <w:b/>
                <w:sz w:val="20"/>
                <w:szCs w:val="20"/>
              </w:rPr>
              <w:t>Teme</w:t>
            </w:r>
          </w:p>
        </w:tc>
      </w:tr>
      <w:tr w:rsidR="00936362" w:rsidRPr="00F31AB9" w:rsidTr="00936362">
        <w:tc>
          <w:tcPr>
            <w:tcW w:w="9212" w:type="dxa"/>
          </w:tcPr>
          <w:p w:rsidR="00936362" w:rsidRPr="00F31AB9" w:rsidRDefault="00936362" w:rsidP="00F31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AB9">
              <w:rPr>
                <w:rFonts w:ascii="Arial" w:hAnsi="Arial" w:cs="Arial"/>
                <w:sz w:val="20"/>
                <w:szCs w:val="20"/>
              </w:rPr>
              <w:t xml:space="preserve">Vodenje javnih razpisov za spodbujanje čezmejnih in </w:t>
            </w:r>
            <w:proofErr w:type="spellStart"/>
            <w:r w:rsidRPr="00F31AB9">
              <w:rPr>
                <w:rFonts w:ascii="Arial" w:hAnsi="Arial" w:cs="Arial"/>
                <w:sz w:val="20"/>
                <w:szCs w:val="20"/>
              </w:rPr>
              <w:t>medsektorskih</w:t>
            </w:r>
            <w:proofErr w:type="spellEnd"/>
            <w:r w:rsidRPr="00F31AB9">
              <w:rPr>
                <w:rFonts w:ascii="Arial" w:hAnsi="Arial" w:cs="Arial"/>
                <w:sz w:val="20"/>
                <w:szCs w:val="20"/>
              </w:rPr>
              <w:t xml:space="preserve"> projektov</w:t>
            </w:r>
          </w:p>
        </w:tc>
      </w:tr>
      <w:tr w:rsidR="00936362" w:rsidRPr="00F31AB9" w:rsidTr="00936362">
        <w:tc>
          <w:tcPr>
            <w:tcW w:w="9212" w:type="dxa"/>
          </w:tcPr>
          <w:p w:rsidR="00936362" w:rsidRPr="00F31AB9" w:rsidRDefault="00936362" w:rsidP="00F31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AB9">
              <w:rPr>
                <w:rFonts w:ascii="Arial" w:hAnsi="Arial" w:cs="Arial"/>
                <w:sz w:val="20"/>
                <w:szCs w:val="20"/>
              </w:rPr>
              <w:t xml:space="preserve">Komuniciranje in </w:t>
            </w:r>
            <w:proofErr w:type="spellStart"/>
            <w:r w:rsidRPr="00F31AB9">
              <w:rPr>
                <w:rFonts w:ascii="Arial" w:hAnsi="Arial" w:cs="Arial"/>
                <w:sz w:val="20"/>
                <w:szCs w:val="20"/>
              </w:rPr>
              <w:t>diseminacija</w:t>
            </w:r>
            <w:proofErr w:type="spellEnd"/>
          </w:p>
        </w:tc>
      </w:tr>
      <w:tr w:rsidR="00936362" w:rsidRPr="00F31AB9" w:rsidTr="00936362">
        <w:tc>
          <w:tcPr>
            <w:tcW w:w="9212" w:type="dxa"/>
          </w:tcPr>
          <w:p w:rsidR="00936362" w:rsidRPr="00F31AB9" w:rsidRDefault="00936362" w:rsidP="00F31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AB9">
              <w:rPr>
                <w:rFonts w:ascii="Arial" w:hAnsi="Arial" w:cs="Arial"/>
                <w:sz w:val="20"/>
                <w:szCs w:val="20"/>
              </w:rPr>
              <w:t>Treniranje in usposabljanje</w:t>
            </w:r>
          </w:p>
        </w:tc>
      </w:tr>
      <w:tr w:rsidR="00936362" w:rsidRPr="00F31AB9" w:rsidTr="00936362">
        <w:tc>
          <w:tcPr>
            <w:tcW w:w="9212" w:type="dxa"/>
          </w:tcPr>
          <w:p w:rsidR="00936362" w:rsidRPr="00F31AB9" w:rsidRDefault="00936362" w:rsidP="00F31AB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1AB9">
              <w:rPr>
                <w:rFonts w:ascii="Arial" w:hAnsi="Arial" w:cs="Arial"/>
                <w:sz w:val="20"/>
                <w:szCs w:val="20"/>
              </w:rPr>
              <w:t>Dejavnosti za ustvarjanje in spodbujanje odprtega inovacijskega prostora za sodelovanje</w:t>
            </w:r>
          </w:p>
        </w:tc>
      </w:tr>
    </w:tbl>
    <w:p w:rsidR="00936362" w:rsidRPr="00F31AB9" w:rsidRDefault="00936362" w:rsidP="00F31AB9">
      <w:pPr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Vir: Priročnik</w:t>
      </w:r>
    </w:p>
    <w:p w:rsidR="00936362" w:rsidRPr="00F31AB9" w:rsidRDefault="00936362" w:rsidP="00F31AB9">
      <w:pPr>
        <w:jc w:val="both"/>
        <w:rPr>
          <w:rFonts w:ascii="Arial" w:hAnsi="Arial" w:cs="Arial"/>
          <w:b/>
          <w:sz w:val="20"/>
          <w:szCs w:val="20"/>
        </w:rPr>
      </w:pPr>
      <w:r w:rsidRPr="00F31AB9">
        <w:rPr>
          <w:rFonts w:ascii="Arial" w:hAnsi="Arial" w:cs="Arial"/>
          <w:b/>
          <w:sz w:val="20"/>
          <w:szCs w:val="20"/>
        </w:rPr>
        <w:t>Koristne informacije:</w:t>
      </w:r>
    </w:p>
    <w:p w:rsidR="00936362" w:rsidRPr="00F31AB9" w:rsidRDefault="00936362" w:rsidP="00F31A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Spletna stran projekta:</w:t>
      </w:r>
    </w:p>
    <w:p w:rsidR="00936362" w:rsidRPr="00F31AB9" w:rsidRDefault="00936362" w:rsidP="00F31A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F31AB9">
          <w:rPr>
            <w:rStyle w:val="Hiperpovezava"/>
            <w:rFonts w:ascii="Arial" w:hAnsi="Arial" w:cs="Arial"/>
            <w:sz w:val="20"/>
            <w:szCs w:val="20"/>
          </w:rPr>
          <w:t>https://galacticaproject.eu/</w:t>
        </w:r>
      </w:hyperlink>
    </w:p>
    <w:p w:rsidR="00936362" w:rsidRPr="00F31AB9" w:rsidRDefault="00936362" w:rsidP="00F31A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Priročnik:</w:t>
      </w:r>
    </w:p>
    <w:p w:rsidR="00936362" w:rsidRPr="00F31AB9" w:rsidRDefault="00936362" w:rsidP="00F31AB9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F31AB9">
          <w:rPr>
            <w:rStyle w:val="Hiperpovezava"/>
            <w:rFonts w:ascii="Arial" w:hAnsi="Arial" w:cs="Arial"/>
            <w:sz w:val="20"/>
            <w:szCs w:val="20"/>
          </w:rPr>
          <w:t>https://galacticaproject.eu/2022/11/25/how-to-successfully-manage-a-cascading-project/</w:t>
        </w:r>
      </w:hyperlink>
    </w:p>
    <w:p w:rsidR="00936362" w:rsidRPr="00F31AB9" w:rsidRDefault="00936362" w:rsidP="00F31A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Pripravila:</w:t>
      </w:r>
    </w:p>
    <w:p w:rsidR="00936362" w:rsidRPr="00F31AB9" w:rsidRDefault="00936362" w:rsidP="00F31AB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31AB9">
        <w:rPr>
          <w:rFonts w:ascii="Arial" w:hAnsi="Arial" w:cs="Arial"/>
          <w:sz w:val="20"/>
          <w:szCs w:val="20"/>
        </w:rPr>
        <w:t>Darja Kocbek</w:t>
      </w:r>
    </w:p>
    <w:p w:rsidR="00CD5F8D" w:rsidRDefault="00CD5F8D" w:rsidP="00F31AB9">
      <w:pPr>
        <w:spacing w:after="0"/>
      </w:pPr>
    </w:p>
    <w:sectPr w:rsidR="00CD5F8D" w:rsidSect="00FB6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7423"/>
    <w:multiLevelType w:val="hybridMultilevel"/>
    <w:tmpl w:val="685AB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987"/>
    <w:rsid w:val="00594987"/>
    <w:rsid w:val="00662CBE"/>
    <w:rsid w:val="00936362"/>
    <w:rsid w:val="00A343B0"/>
    <w:rsid w:val="00CD5F8D"/>
    <w:rsid w:val="00F31AB9"/>
    <w:rsid w:val="00FB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B63DC"/>
  </w:style>
  <w:style w:type="paragraph" w:styleId="Naslov2">
    <w:name w:val="heading 2"/>
    <w:basedOn w:val="Navaden"/>
    <w:link w:val="Naslov2Znak"/>
    <w:uiPriority w:val="9"/>
    <w:qFormat/>
    <w:rsid w:val="00F31A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936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936362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F31AB9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F31AB9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3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31A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alacticaproject.eu/2022/11/25/how-to-successfully-manage-a-cascading-proje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acticaproject.e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2023-04-12T19:25:00Z</dcterms:created>
  <dcterms:modified xsi:type="dcterms:W3CDTF">2023-04-12T19:52:00Z</dcterms:modified>
</cp:coreProperties>
</file>