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45" w:rsidRPr="00467345" w:rsidRDefault="00467345" w:rsidP="0046734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67345" w:rsidRPr="00083714" w:rsidRDefault="00467345" w:rsidP="00467345">
      <w:pPr>
        <w:pStyle w:val="Naslov2"/>
        <w:tabs>
          <w:tab w:val="left" w:pos="3120"/>
        </w:tabs>
        <w:spacing w:before="0"/>
        <w:jc w:val="center"/>
        <w:rPr>
          <w:b w:val="0"/>
          <w:bCs w:val="0"/>
          <w:i/>
          <w:iCs/>
          <w:sz w:val="22"/>
        </w:rPr>
      </w:pPr>
      <w:r w:rsidRPr="00083714">
        <w:rPr>
          <w:sz w:val="22"/>
        </w:rPr>
        <w:t>Slovensko gospodarsko in raziskovalno združenje, Bruselj</w:t>
      </w:r>
    </w:p>
    <w:p w:rsidR="00467345" w:rsidRPr="00083714" w:rsidRDefault="00467345" w:rsidP="00467345">
      <w:pPr>
        <w:pBdr>
          <w:bottom w:val="single" w:sz="6" w:space="1" w:color="auto"/>
        </w:pBdr>
        <w:tabs>
          <w:tab w:val="left" w:pos="3120"/>
        </w:tabs>
        <w:jc w:val="center"/>
        <w:rPr>
          <w:sz w:val="16"/>
          <w:szCs w:val="16"/>
        </w:rPr>
      </w:pPr>
    </w:p>
    <w:p w:rsidR="00467345" w:rsidRDefault="00467345" w:rsidP="00467345">
      <w:pPr>
        <w:tabs>
          <w:tab w:val="left" w:pos="3120"/>
        </w:tabs>
        <w:rPr>
          <w:b/>
        </w:rPr>
      </w:pPr>
      <w:r w:rsidRPr="00083714">
        <w:rPr>
          <w:b/>
        </w:rPr>
        <w:tab/>
      </w:r>
    </w:p>
    <w:p w:rsidR="00467345" w:rsidRDefault="00467345" w:rsidP="00467345">
      <w:pPr>
        <w:tabs>
          <w:tab w:val="left" w:pos="3120"/>
        </w:tabs>
        <w:jc w:val="center"/>
        <w:rPr>
          <w:b/>
        </w:rPr>
      </w:pPr>
      <w:r>
        <w:rPr>
          <w:b/>
        </w:rPr>
        <w:t>Občasna informacija članom 67</w:t>
      </w:r>
      <w:r w:rsidRPr="00083714">
        <w:rPr>
          <w:b/>
        </w:rPr>
        <w:t xml:space="preserve"> – 20</w:t>
      </w:r>
      <w:r>
        <w:rPr>
          <w:b/>
        </w:rPr>
        <w:t>21</w:t>
      </w:r>
    </w:p>
    <w:p w:rsidR="00467345" w:rsidRDefault="00467345" w:rsidP="00467345">
      <w:pPr>
        <w:tabs>
          <w:tab w:val="left" w:pos="3120"/>
        </w:tabs>
        <w:jc w:val="center"/>
        <w:rPr>
          <w:b/>
        </w:rPr>
      </w:pPr>
    </w:p>
    <w:p w:rsidR="00467345" w:rsidRDefault="00467345" w:rsidP="00467345">
      <w:pPr>
        <w:tabs>
          <w:tab w:val="left" w:pos="3120"/>
        </w:tabs>
        <w:jc w:val="center"/>
        <w:rPr>
          <w:b/>
        </w:rPr>
      </w:pPr>
      <w:r>
        <w:rPr>
          <w:b/>
        </w:rPr>
        <w:t xml:space="preserve">26. april </w:t>
      </w:r>
      <w:r w:rsidRPr="00083714">
        <w:rPr>
          <w:b/>
        </w:rPr>
        <w:t xml:space="preserve"> 20</w:t>
      </w:r>
      <w:r>
        <w:rPr>
          <w:b/>
        </w:rPr>
        <w:t>21</w:t>
      </w:r>
    </w:p>
    <w:p w:rsidR="00467345" w:rsidRPr="00050C1F" w:rsidRDefault="00467345" w:rsidP="00467345">
      <w:pPr>
        <w:tabs>
          <w:tab w:val="left" w:pos="3120"/>
        </w:tabs>
        <w:jc w:val="center"/>
        <w:rPr>
          <w:b/>
        </w:rPr>
      </w:pPr>
    </w:p>
    <w:p w:rsidR="000E75B8" w:rsidRDefault="00467345" w:rsidP="00467345">
      <w:pPr>
        <w:jc w:val="center"/>
        <w:rPr>
          <w:rFonts w:ascii="Arial" w:hAnsi="Arial"/>
          <w:b/>
          <w:i/>
          <w:sz w:val="22"/>
          <w:szCs w:val="22"/>
        </w:rPr>
      </w:pPr>
      <w:r>
        <w:rPr>
          <w:b/>
          <w:color w:val="993300"/>
          <w:sz w:val="32"/>
          <w:szCs w:val="32"/>
        </w:rPr>
        <w:t>Evropska komisija je sprejela sveženj ukrepov za izboljšanje pretoka denarja v trajnostne dejavnosti</w:t>
      </w:r>
    </w:p>
    <w:p w:rsidR="000E75B8" w:rsidRDefault="000E75B8" w:rsidP="0022607B">
      <w:pPr>
        <w:jc w:val="both"/>
        <w:rPr>
          <w:rFonts w:ascii="Arial" w:hAnsi="Arial"/>
          <w:b/>
          <w:i/>
          <w:sz w:val="22"/>
          <w:szCs w:val="22"/>
        </w:rPr>
      </w:pPr>
    </w:p>
    <w:p w:rsidR="008F0E00" w:rsidRPr="0022607B" w:rsidRDefault="004272CC" w:rsidP="0022607B">
      <w:pPr>
        <w:jc w:val="both"/>
        <w:rPr>
          <w:rFonts w:ascii="Arial" w:hAnsi="Arial"/>
          <w:b/>
          <w:i/>
          <w:sz w:val="22"/>
          <w:szCs w:val="22"/>
        </w:rPr>
      </w:pPr>
      <w:r w:rsidRPr="0022607B">
        <w:rPr>
          <w:rFonts w:ascii="Arial" w:hAnsi="Arial"/>
          <w:b/>
          <w:i/>
          <w:sz w:val="22"/>
          <w:szCs w:val="22"/>
        </w:rPr>
        <w:t>Evropska komisija je sprejela sveženj ukrepov za izboljšanje pretoka denarja v trajnostne dejavnosti, ki naj bi bili ključni za dosego podnebne nevtralnosti Evrope do leta 2050. V svežnju so: delegirani akt o EU taksonomiji na področju podnebja, predlog direktive o poročanju podjetij o trajnostni naravnanosti in šest delegiranih aktov o spremembah na področju fiduciarnih obveznosti ter naložbenega in zavarovalnega svetovanja. Člani lahko dobijo več informacij na SBRA.</w:t>
      </w:r>
    </w:p>
    <w:p w:rsidR="004272CC" w:rsidRPr="0022607B" w:rsidRDefault="004272CC" w:rsidP="0022607B">
      <w:pPr>
        <w:jc w:val="both"/>
        <w:rPr>
          <w:rFonts w:ascii="Arial" w:hAnsi="Arial"/>
          <w:sz w:val="20"/>
          <w:szCs w:val="20"/>
        </w:rPr>
      </w:pPr>
      <w:r w:rsidRPr="0022607B">
        <w:rPr>
          <w:rFonts w:ascii="Arial" w:hAnsi="Arial"/>
          <w:sz w:val="20"/>
          <w:szCs w:val="20"/>
        </w:rPr>
        <w:t xml:space="preserve"> </w:t>
      </w:r>
    </w:p>
    <w:p w:rsidR="00AA5166" w:rsidRPr="0022607B" w:rsidRDefault="008F0E00" w:rsidP="0022607B">
      <w:pPr>
        <w:jc w:val="both"/>
        <w:rPr>
          <w:rFonts w:ascii="Arial" w:hAnsi="Arial"/>
          <w:b/>
          <w:sz w:val="20"/>
          <w:szCs w:val="20"/>
        </w:rPr>
      </w:pPr>
      <w:r w:rsidRPr="0022607B">
        <w:rPr>
          <w:rFonts w:ascii="Arial" w:hAnsi="Arial"/>
          <w:b/>
          <w:sz w:val="20"/>
          <w:szCs w:val="20"/>
        </w:rPr>
        <w:t>Delegirani akt o EU taksonomiji na področju podnebja</w:t>
      </w:r>
    </w:p>
    <w:p w:rsidR="008F0E00" w:rsidRPr="0022607B" w:rsidRDefault="008F0E00" w:rsidP="0022607B">
      <w:pPr>
        <w:jc w:val="both"/>
        <w:rPr>
          <w:rFonts w:ascii="Arial" w:hAnsi="Arial"/>
          <w:sz w:val="20"/>
          <w:szCs w:val="20"/>
        </w:rPr>
      </w:pPr>
    </w:p>
    <w:p w:rsidR="008F0E00" w:rsidRPr="0022607B" w:rsidRDefault="008F0E00" w:rsidP="0022607B">
      <w:pPr>
        <w:jc w:val="both"/>
        <w:rPr>
          <w:rFonts w:ascii="Arial" w:hAnsi="Arial"/>
          <w:sz w:val="20"/>
          <w:szCs w:val="20"/>
        </w:rPr>
      </w:pPr>
      <w:r w:rsidRPr="0022607B">
        <w:rPr>
          <w:rFonts w:ascii="Arial" w:hAnsi="Arial"/>
          <w:sz w:val="20"/>
          <w:szCs w:val="20"/>
        </w:rPr>
        <w:t>S tem aktom je predvidena uvedba prvega sklopa tehničnih meril za opredelitev, katere dejavnosti bistveno prispevajo k prilagajanju podnebnim spremembam in blažitvi podnebnih sprememb. Vključuje sektorje, kot so energetika, gozdarstvo, predelovalne dejavnosti, promet in stavbe.</w:t>
      </w:r>
    </w:p>
    <w:p w:rsidR="008F0E00" w:rsidRPr="0022607B" w:rsidRDefault="008F0E00" w:rsidP="0022607B">
      <w:pPr>
        <w:jc w:val="both"/>
        <w:rPr>
          <w:rFonts w:ascii="Arial" w:hAnsi="Arial"/>
          <w:sz w:val="20"/>
          <w:szCs w:val="20"/>
        </w:rPr>
      </w:pPr>
    </w:p>
    <w:p w:rsidR="008F0E00" w:rsidRPr="0022607B" w:rsidRDefault="008F0E00" w:rsidP="0022607B">
      <w:pPr>
        <w:jc w:val="both"/>
        <w:rPr>
          <w:rFonts w:ascii="Arial" w:hAnsi="Arial"/>
          <w:b/>
          <w:sz w:val="20"/>
          <w:szCs w:val="20"/>
        </w:rPr>
      </w:pPr>
      <w:r w:rsidRPr="0022607B">
        <w:rPr>
          <w:rFonts w:ascii="Arial" w:hAnsi="Arial"/>
          <w:b/>
          <w:sz w:val="20"/>
          <w:szCs w:val="20"/>
        </w:rPr>
        <w:t>Predlog direktive o poročanju podjetij o trajnostni naravnanosti</w:t>
      </w:r>
    </w:p>
    <w:p w:rsidR="0022607B" w:rsidRDefault="0022607B" w:rsidP="0022607B">
      <w:pPr>
        <w:jc w:val="both"/>
        <w:rPr>
          <w:rFonts w:ascii="Arial" w:hAnsi="Arial"/>
          <w:sz w:val="20"/>
          <w:szCs w:val="20"/>
        </w:rPr>
      </w:pPr>
    </w:p>
    <w:p w:rsidR="008F0E00" w:rsidRPr="0022607B" w:rsidRDefault="00A64500" w:rsidP="0022607B">
      <w:pPr>
        <w:jc w:val="both"/>
        <w:rPr>
          <w:rFonts w:ascii="Arial" w:hAnsi="Arial"/>
          <w:sz w:val="20"/>
          <w:szCs w:val="20"/>
        </w:rPr>
      </w:pPr>
      <w:r w:rsidRPr="0022607B">
        <w:rPr>
          <w:rFonts w:ascii="Arial" w:hAnsi="Arial"/>
          <w:sz w:val="20"/>
          <w:szCs w:val="20"/>
        </w:rPr>
        <w:t>V predlogu je predvidena razširitev</w:t>
      </w:r>
      <w:r w:rsidR="008F0E00" w:rsidRPr="0022607B">
        <w:rPr>
          <w:rFonts w:ascii="Arial" w:hAnsi="Arial"/>
          <w:sz w:val="20"/>
          <w:szCs w:val="20"/>
        </w:rPr>
        <w:t xml:space="preserve"> </w:t>
      </w:r>
      <w:r w:rsidRPr="0022607B">
        <w:rPr>
          <w:rFonts w:ascii="Arial" w:hAnsi="Arial"/>
          <w:sz w:val="20"/>
          <w:szCs w:val="20"/>
        </w:rPr>
        <w:t>zahtev</w:t>
      </w:r>
      <w:r w:rsidR="008F0E00" w:rsidRPr="0022607B">
        <w:rPr>
          <w:rFonts w:ascii="Arial" w:hAnsi="Arial"/>
          <w:sz w:val="20"/>
          <w:szCs w:val="20"/>
        </w:rPr>
        <w:t xml:space="preserve"> EU glede poročanja o trajnostni naravnanosti na vsa velika podjetja in vsa podjetja, ki kotirajo na borzi. </w:t>
      </w:r>
      <w:r w:rsidRPr="0022607B">
        <w:rPr>
          <w:rFonts w:ascii="Arial" w:hAnsi="Arial"/>
          <w:sz w:val="20"/>
          <w:szCs w:val="20"/>
        </w:rPr>
        <w:t>Če bo predlog sprejet,</w:t>
      </w:r>
      <w:r w:rsidR="008F0E00" w:rsidRPr="0022607B">
        <w:rPr>
          <w:rFonts w:ascii="Arial" w:hAnsi="Arial"/>
          <w:sz w:val="20"/>
          <w:szCs w:val="20"/>
        </w:rPr>
        <w:t xml:space="preserve"> bo moralo podrobne standarde EU za poročanje o trajnostni naravnanosti po novem upoštevati skoraj 50 000 podjetij v EU.</w:t>
      </w:r>
      <w:r w:rsidRPr="0022607B">
        <w:rPr>
          <w:rFonts w:ascii="Arial" w:hAnsi="Arial"/>
          <w:sz w:val="20"/>
          <w:szCs w:val="20"/>
        </w:rPr>
        <w:t xml:space="preserve">  Podjetja bodo morala poročati, kako vprašanja s področja </w:t>
      </w:r>
      <w:proofErr w:type="spellStart"/>
      <w:r w:rsidRPr="0022607B">
        <w:rPr>
          <w:rFonts w:ascii="Arial" w:hAnsi="Arial"/>
          <w:sz w:val="20"/>
          <w:szCs w:val="20"/>
        </w:rPr>
        <w:t>trajnostnosti</w:t>
      </w:r>
      <w:proofErr w:type="spellEnd"/>
      <w:r w:rsidRPr="0022607B">
        <w:rPr>
          <w:rFonts w:ascii="Arial" w:hAnsi="Arial"/>
          <w:sz w:val="20"/>
          <w:szCs w:val="20"/>
        </w:rPr>
        <w:t>, kot so podnebne spremembe, vplivajo na njihovo poslovanje in kako njihove dejavnosti vplivajo na človekove pravice.</w:t>
      </w:r>
    </w:p>
    <w:p w:rsidR="00A64500" w:rsidRPr="0022607B" w:rsidRDefault="00A64500" w:rsidP="0022607B">
      <w:pPr>
        <w:jc w:val="both"/>
        <w:rPr>
          <w:rFonts w:ascii="Arial" w:hAnsi="Arial"/>
          <w:sz w:val="20"/>
          <w:szCs w:val="20"/>
        </w:rPr>
      </w:pPr>
    </w:p>
    <w:p w:rsidR="00A64500" w:rsidRPr="002C4644" w:rsidRDefault="00A64500" w:rsidP="0022607B">
      <w:pPr>
        <w:jc w:val="both"/>
        <w:rPr>
          <w:rFonts w:ascii="Arial" w:hAnsi="Arial"/>
          <w:b/>
          <w:sz w:val="20"/>
          <w:szCs w:val="20"/>
        </w:rPr>
      </w:pPr>
      <w:r w:rsidRPr="002C4644">
        <w:rPr>
          <w:rFonts w:ascii="Arial" w:hAnsi="Arial"/>
          <w:b/>
          <w:sz w:val="20"/>
          <w:szCs w:val="20"/>
        </w:rPr>
        <w:t>Spremembe delegiranih aktov o naložbenem in zavarovalnem svetovanju, fiduciarnih obveznostih ter nadzoru in upravljanju produktov</w:t>
      </w:r>
    </w:p>
    <w:p w:rsidR="00A64500" w:rsidRPr="002C4644" w:rsidRDefault="00A64500" w:rsidP="0022607B">
      <w:pPr>
        <w:jc w:val="both"/>
        <w:rPr>
          <w:rFonts w:ascii="Arial" w:hAnsi="Arial"/>
          <w:b/>
          <w:sz w:val="20"/>
          <w:szCs w:val="20"/>
        </w:rPr>
      </w:pPr>
    </w:p>
    <w:p w:rsidR="008F0E00" w:rsidRPr="0022607B" w:rsidRDefault="00A64500" w:rsidP="0022607B">
      <w:pPr>
        <w:jc w:val="both"/>
        <w:rPr>
          <w:rFonts w:ascii="Arial" w:hAnsi="Arial"/>
          <w:sz w:val="20"/>
          <w:szCs w:val="20"/>
        </w:rPr>
      </w:pPr>
      <w:r w:rsidRPr="0022607B">
        <w:rPr>
          <w:rFonts w:ascii="Arial" w:hAnsi="Arial"/>
          <w:sz w:val="20"/>
          <w:szCs w:val="20"/>
        </w:rPr>
        <w:t xml:space="preserve">V skladu s predlaganimi spremembami se bo moral svetovalec za naložbe in zavarovanja s stranko pogovoriti tudi o njenih preferencah glede </w:t>
      </w:r>
      <w:proofErr w:type="spellStart"/>
      <w:r w:rsidRPr="0022607B">
        <w:rPr>
          <w:rFonts w:ascii="Arial" w:hAnsi="Arial"/>
          <w:sz w:val="20"/>
          <w:szCs w:val="20"/>
        </w:rPr>
        <w:t>trajnostnosti</w:t>
      </w:r>
      <w:proofErr w:type="spellEnd"/>
      <w:r w:rsidRPr="0022607B">
        <w:rPr>
          <w:rFonts w:ascii="Arial" w:hAnsi="Arial"/>
          <w:sz w:val="20"/>
          <w:szCs w:val="20"/>
        </w:rPr>
        <w:t xml:space="preserve">. Spremembe na področju fiduciarnih obveznosti določajo obveznosti finančnega podjetja pri ocenjevanju tveganj glede </w:t>
      </w:r>
      <w:proofErr w:type="spellStart"/>
      <w:r w:rsidRPr="0022607B">
        <w:rPr>
          <w:rFonts w:ascii="Arial" w:hAnsi="Arial"/>
          <w:sz w:val="20"/>
          <w:szCs w:val="20"/>
        </w:rPr>
        <w:t>trajnostnosti</w:t>
      </w:r>
      <w:proofErr w:type="spellEnd"/>
      <w:r w:rsidRPr="0022607B">
        <w:rPr>
          <w:rFonts w:ascii="Arial" w:hAnsi="Arial"/>
          <w:sz w:val="20"/>
          <w:szCs w:val="20"/>
        </w:rPr>
        <w:t xml:space="preserve">, kot je na primer vpliv poplav na vrednost naložb. Predlagane spremembe na področju nadzora in upravljanja naložbenih in zavarovalnih produktov predvidevajo, da bodo morali oblikovalci finančnih produktov in finančni svetovalci ob zasnovi svojih finančnih produktov upoštevati dejavnike </w:t>
      </w:r>
      <w:proofErr w:type="spellStart"/>
      <w:r w:rsidRPr="0022607B">
        <w:rPr>
          <w:rFonts w:ascii="Arial" w:hAnsi="Arial"/>
          <w:sz w:val="20"/>
          <w:szCs w:val="20"/>
        </w:rPr>
        <w:t>trajnostnosti</w:t>
      </w:r>
      <w:proofErr w:type="spellEnd"/>
      <w:r w:rsidRPr="0022607B">
        <w:rPr>
          <w:rFonts w:ascii="Arial" w:hAnsi="Arial"/>
          <w:sz w:val="20"/>
          <w:szCs w:val="20"/>
        </w:rPr>
        <w:t>.</w:t>
      </w:r>
    </w:p>
    <w:p w:rsidR="00A64500" w:rsidRPr="0022607B" w:rsidRDefault="00A64500" w:rsidP="0022607B">
      <w:pPr>
        <w:jc w:val="both"/>
        <w:rPr>
          <w:rFonts w:ascii="Arial" w:hAnsi="Arial"/>
          <w:sz w:val="20"/>
          <w:szCs w:val="20"/>
        </w:rPr>
      </w:pPr>
    </w:p>
    <w:p w:rsidR="00A64500" w:rsidRPr="002C4644" w:rsidRDefault="00A64500" w:rsidP="0022607B">
      <w:pPr>
        <w:jc w:val="both"/>
        <w:rPr>
          <w:rFonts w:ascii="Arial" w:hAnsi="Arial"/>
          <w:b/>
          <w:sz w:val="20"/>
          <w:szCs w:val="20"/>
        </w:rPr>
      </w:pPr>
      <w:r w:rsidRPr="002C4644">
        <w:rPr>
          <w:rFonts w:ascii="Arial" w:hAnsi="Arial"/>
          <w:b/>
          <w:sz w:val="20"/>
          <w:szCs w:val="20"/>
        </w:rPr>
        <w:t>Koristne informacije:</w:t>
      </w:r>
    </w:p>
    <w:p w:rsidR="002C4644" w:rsidRDefault="002C4644" w:rsidP="0022607B">
      <w:pPr>
        <w:jc w:val="both"/>
        <w:rPr>
          <w:rFonts w:ascii="Arial" w:hAnsi="Arial"/>
          <w:sz w:val="20"/>
          <w:szCs w:val="20"/>
        </w:rPr>
      </w:pPr>
    </w:p>
    <w:p w:rsidR="00A64500" w:rsidRPr="002C4644" w:rsidRDefault="00A64500" w:rsidP="002C4644">
      <w:pPr>
        <w:pStyle w:val="Odstavekseznama"/>
        <w:numPr>
          <w:ilvl w:val="0"/>
          <w:numId w:val="1"/>
        </w:numPr>
        <w:jc w:val="both"/>
        <w:rPr>
          <w:rFonts w:ascii="Arial" w:hAnsi="Arial"/>
          <w:sz w:val="20"/>
          <w:szCs w:val="20"/>
        </w:rPr>
      </w:pPr>
      <w:r w:rsidRPr="002C4644">
        <w:rPr>
          <w:rFonts w:ascii="Arial" w:hAnsi="Arial"/>
          <w:sz w:val="20"/>
          <w:szCs w:val="20"/>
        </w:rPr>
        <w:t>Spletna stran s predlogi sprememb:</w:t>
      </w:r>
    </w:p>
    <w:p w:rsidR="00A64500" w:rsidRPr="002C4644" w:rsidRDefault="00A64500" w:rsidP="002C4644">
      <w:pPr>
        <w:pStyle w:val="Odstavekseznama"/>
        <w:numPr>
          <w:ilvl w:val="0"/>
          <w:numId w:val="1"/>
        </w:numPr>
        <w:jc w:val="both"/>
        <w:rPr>
          <w:rFonts w:ascii="Arial" w:hAnsi="Arial"/>
          <w:sz w:val="20"/>
          <w:szCs w:val="20"/>
        </w:rPr>
      </w:pPr>
      <w:hyperlink r:id="rId6" w:history="1">
        <w:r w:rsidRPr="002C4644">
          <w:rPr>
            <w:rStyle w:val="Hiperpovezava"/>
            <w:rFonts w:ascii="Arial" w:hAnsi="Arial" w:cs="Arial"/>
            <w:sz w:val="20"/>
            <w:szCs w:val="20"/>
          </w:rPr>
          <w:t>https://ec.europa.eu/info/publications/210421-sustainable-finance-communication_en</w:t>
        </w:r>
      </w:hyperlink>
    </w:p>
    <w:p w:rsidR="002C4644" w:rsidRDefault="002C4644" w:rsidP="0022607B">
      <w:pPr>
        <w:jc w:val="both"/>
        <w:rPr>
          <w:rFonts w:ascii="Arial" w:hAnsi="Arial"/>
          <w:sz w:val="20"/>
          <w:szCs w:val="20"/>
        </w:rPr>
      </w:pPr>
    </w:p>
    <w:p w:rsidR="00A64500" w:rsidRPr="0022607B" w:rsidRDefault="00A64500" w:rsidP="0022607B">
      <w:pPr>
        <w:jc w:val="both"/>
        <w:rPr>
          <w:rFonts w:ascii="Arial" w:hAnsi="Arial"/>
          <w:sz w:val="20"/>
          <w:szCs w:val="20"/>
        </w:rPr>
      </w:pPr>
      <w:r w:rsidRPr="0022607B">
        <w:rPr>
          <w:rFonts w:ascii="Arial" w:hAnsi="Arial"/>
          <w:sz w:val="20"/>
          <w:szCs w:val="20"/>
        </w:rPr>
        <w:t>Pripravila:</w:t>
      </w:r>
      <w:r w:rsidR="00467345">
        <w:rPr>
          <w:rFonts w:ascii="Arial" w:hAnsi="Arial"/>
          <w:sz w:val="20"/>
          <w:szCs w:val="20"/>
        </w:rPr>
        <w:t xml:space="preserve"> Darja Kocbek</w:t>
      </w:r>
    </w:p>
    <w:p w:rsidR="00A64500" w:rsidRPr="0022607B" w:rsidRDefault="00A64500" w:rsidP="0022607B">
      <w:pPr>
        <w:jc w:val="both"/>
        <w:rPr>
          <w:rFonts w:ascii="Arial" w:hAnsi="Arial"/>
          <w:sz w:val="20"/>
          <w:szCs w:val="20"/>
        </w:rPr>
      </w:pPr>
      <w:r w:rsidRPr="0022607B">
        <w:rPr>
          <w:rFonts w:ascii="Arial" w:hAnsi="Arial"/>
          <w:sz w:val="20"/>
          <w:szCs w:val="20"/>
        </w:rPr>
        <w:t>Darja Kocbek</w:t>
      </w:r>
    </w:p>
    <w:sectPr w:rsidR="00A64500" w:rsidRPr="0022607B" w:rsidSect="00AA51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D6293"/>
    <w:multiLevelType w:val="hybridMultilevel"/>
    <w:tmpl w:val="F6469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72CC"/>
    <w:rsid w:val="000E75B8"/>
    <w:rsid w:val="0022607B"/>
    <w:rsid w:val="002C4644"/>
    <w:rsid w:val="004272CC"/>
    <w:rsid w:val="00467345"/>
    <w:rsid w:val="008F0E00"/>
    <w:rsid w:val="00A64500"/>
    <w:rsid w:val="00AA51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72CC"/>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467345"/>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272CC"/>
    <w:rPr>
      <w:b/>
      <w:bCs/>
    </w:rPr>
  </w:style>
  <w:style w:type="character" w:styleId="Hiperpovezava">
    <w:name w:val="Hyperlink"/>
    <w:basedOn w:val="Privzetapisavaodstavka"/>
    <w:uiPriority w:val="99"/>
    <w:unhideWhenUsed/>
    <w:rsid w:val="008F0E00"/>
    <w:rPr>
      <w:color w:val="0000FF"/>
      <w:u w:val="single"/>
    </w:rPr>
  </w:style>
  <w:style w:type="paragraph" w:styleId="Odstavekseznama">
    <w:name w:val="List Paragraph"/>
    <w:basedOn w:val="Navaden"/>
    <w:uiPriority w:val="34"/>
    <w:qFormat/>
    <w:rsid w:val="002C4644"/>
    <w:pPr>
      <w:ind w:left="720"/>
      <w:contextualSpacing/>
    </w:pPr>
    <w:rPr>
      <w:rFonts w:cs="Mangal"/>
      <w:szCs w:val="21"/>
    </w:rPr>
  </w:style>
  <w:style w:type="character" w:customStyle="1" w:styleId="Naslov2Znak">
    <w:name w:val="Naslov 2 Znak"/>
    <w:basedOn w:val="Privzetapisavaodstavka"/>
    <w:link w:val="Naslov2"/>
    <w:uiPriority w:val="9"/>
    <w:rsid w:val="00467345"/>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67345"/>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67345"/>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ublications/210421-sustainable-finance-communication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383</Words>
  <Characters>2189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2021-04-21T16:08:00Z</dcterms:created>
  <dcterms:modified xsi:type="dcterms:W3CDTF">2021-04-21T16:32:00Z</dcterms:modified>
</cp:coreProperties>
</file>