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92F" w:rsidRDefault="0039192F" w:rsidP="009C33FD">
      <w:pPr>
        <w:rPr>
          <w:rFonts w:ascii="Arial" w:hAnsi="Arial" w:cs="Arial"/>
          <w:b/>
          <w:i/>
        </w:rPr>
      </w:pPr>
    </w:p>
    <w:p w:rsidR="0039192F" w:rsidRDefault="0039192F" w:rsidP="0039192F">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9192F" w:rsidRDefault="0039192F" w:rsidP="0039192F">
      <w:pPr>
        <w:pStyle w:val="Naslov2"/>
        <w:tabs>
          <w:tab w:val="left" w:pos="3120"/>
        </w:tabs>
        <w:jc w:val="center"/>
        <w:rPr>
          <w:b w:val="0"/>
          <w:bCs w:val="0"/>
          <w:i/>
          <w:iCs/>
          <w:sz w:val="22"/>
        </w:rPr>
      </w:pPr>
      <w:r>
        <w:rPr>
          <w:b w:val="0"/>
          <w:bCs w:val="0"/>
          <w:sz w:val="22"/>
        </w:rPr>
        <w:t>Slovensko gospodarsko in raziskovalno združenje, Bruselj</w:t>
      </w:r>
    </w:p>
    <w:p w:rsidR="0039192F" w:rsidRDefault="0039192F" w:rsidP="0039192F">
      <w:pPr>
        <w:pBdr>
          <w:bottom w:val="single" w:sz="6" w:space="1" w:color="auto"/>
        </w:pBdr>
        <w:tabs>
          <w:tab w:val="left" w:pos="3120"/>
        </w:tabs>
        <w:jc w:val="center"/>
        <w:rPr>
          <w:sz w:val="16"/>
          <w:szCs w:val="16"/>
        </w:rPr>
      </w:pPr>
    </w:p>
    <w:p w:rsidR="0039192F" w:rsidRPr="001C4501" w:rsidRDefault="0039192F" w:rsidP="0039192F">
      <w:pPr>
        <w:tabs>
          <w:tab w:val="left" w:pos="3120"/>
        </w:tabs>
        <w:rPr>
          <w:rFonts w:ascii="Arial" w:hAnsi="Arial" w:cs="Arial"/>
          <w:b/>
        </w:rPr>
      </w:pPr>
    </w:p>
    <w:p w:rsidR="0039192F" w:rsidRDefault="0039192F" w:rsidP="0039192F">
      <w:pPr>
        <w:tabs>
          <w:tab w:val="left" w:pos="3120"/>
        </w:tabs>
        <w:jc w:val="center"/>
        <w:rPr>
          <w:rFonts w:ascii="Arial" w:hAnsi="Arial" w:cs="Arial"/>
          <w:b/>
        </w:rPr>
      </w:pPr>
      <w:r>
        <w:rPr>
          <w:rFonts w:ascii="Arial" w:hAnsi="Arial" w:cs="Arial"/>
          <w:b/>
        </w:rPr>
        <w:t>Občasna informacija članom 66</w:t>
      </w:r>
      <w:r w:rsidRPr="001C4501">
        <w:rPr>
          <w:rFonts w:ascii="Arial" w:hAnsi="Arial" w:cs="Arial"/>
          <w:b/>
        </w:rPr>
        <w:t xml:space="preserve"> – 2017</w:t>
      </w:r>
    </w:p>
    <w:p w:rsidR="0039192F" w:rsidRPr="00DD131D" w:rsidRDefault="0039192F" w:rsidP="0039192F">
      <w:pPr>
        <w:tabs>
          <w:tab w:val="left" w:pos="3120"/>
        </w:tabs>
        <w:jc w:val="center"/>
        <w:rPr>
          <w:rFonts w:ascii="Arial" w:hAnsi="Arial" w:cs="Arial"/>
          <w:b/>
        </w:rPr>
      </w:pPr>
      <w:r>
        <w:rPr>
          <w:rFonts w:ascii="Arial" w:hAnsi="Arial" w:cs="Arial"/>
          <w:b/>
        </w:rPr>
        <w:t>24</w:t>
      </w:r>
      <w:r w:rsidRPr="001C4501">
        <w:rPr>
          <w:rFonts w:ascii="Arial" w:hAnsi="Arial" w:cs="Arial"/>
          <w:b/>
        </w:rPr>
        <w:t>. april 2017</w:t>
      </w:r>
    </w:p>
    <w:p w:rsidR="0039192F" w:rsidRDefault="0039192F" w:rsidP="0039192F">
      <w:pPr>
        <w:jc w:val="center"/>
        <w:rPr>
          <w:rFonts w:ascii="Arial" w:hAnsi="Arial" w:cs="Arial"/>
          <w:b/>
          <w:i/>
        </w:rPr>
      </w:pPr>
      <w:r>
        <w:rPr>
          <w:rFonts w:ascii="Arial" w:hAnsi="Arial" w:cs="Arial"/>
          <w:b/>
          <w:color w:val="993300"/>
          <w:sz w:val="32"/>
          <w:szCs w:val="32"/>
        </w:rPr>
        <w:t>Študija o možnostih za dosego podnebno-energetskih ciljev EU do leta 2020 in 2030 s pomočjo bioplina</w:t>
      </w:r>
    </w:p>
    <w:p w:rsidR="00020D22" w:rsidRPr="005C50C3" w:rsidRDefault="00020D22" w:rsidP="009C33FD">
      <w:pPr>
        <w:rPr>
          <w:rFonts w:ascii="Arial" w:hAnsi="Arial" w:cs="Arial"/>
          <w:b/>
          <w:i/>
        </w:rPr>
      </w:pPr>
      <w:r w:rsidRPr="005C50C3">
        <w:rPr>
          <w:rFonts w:ascii="Arial" w:hAnsi="Arial" w:cs="Arial"/>
          <w:b/>
          <w:i/>
        </w:rPr>
        <w:t>Evropska komisija je objavila študijo, kaj bi pomenil bioplin, ki bi ga pridobili iz smeti, kot energetski vir za Evropo. Za dosego podnebnih ciljev do leta 2020 in 2030 bi lahko bil prožen in trajnosten alternativni vir energije, ki omogoča energetsko varnost in zmanjšanje izpustov toplogrednih plinov pri pridobivanju električne energije, ogrevanju in v prometu. V študiji je več priporočil za izrabo vseh možnosti, ki jih bioplin ponuja.</w:t>
      </w:r>
    </w:p>
    <w:p w:rsidR="00020D22" w:rsidRPr="005C50C3" w:rsidRDefault="00020D22" w:rsidP="009C33FD">
      <w:pPr>
        <w:rPr>
          <w:rFonts w:ascii="Arial" w:hAnsi="Arial" w:cs="Arial"/>
          <w:b/>
          <w:sz w:val="20"/>
          <w:szCs w:val="20"/>
        </w:rPr>
      </w:pPr>
      <w:r w:rsidRPr="005C50C3">
        <w:rPr>
          <w:rFonts w:ascii="Arial" w:hAnsi="Arial" w:cs="Arial"/>
          <w:b/>
          <w:sz w:val="20"/>
          <w:szCs w:val="20"/>
        </w:rPr>
        <w:t>Graf 1: Proizvodnja bioplina po državah članicah EU v letu 2014</w:t>
      </w:r>
    </w:p>
    <w:p w:rsidR="00020D22" w:rsidRPr="005C50C3" w:rsidRDefault="00020D22" w:rsidP="009C33FD">
      <w:pPr>
        <w:rPr>
          <w:rFonts w:ascii="Arial" w:hAnsi="Arial" w:cs="Arial"/>
          <w:sz w:val="20"/>
          <w:szCs w:val="20"/>
        </w:rPr>
      </w:pPr>
      <w:r w:rsidRPr="005C50C3">
        <w:rPr>
          <w:rFonts w:ascii="Arial" w:hAnsi="Arial" w:cs="Arial"/>
          <w:sz w:val="20"/>
          <w:szCs w:val="20"/>
        </w:rPr>
        <w:drawing>
          <wp:inline distT="0" distB="0" distL="0" distR="0">
            <wp:extent cx="5486400" cy="316838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90648" cy="3170833"/>
                    </a:xfrm>
                    <a:prstGeom prst="rect">
                      <a:avLst/>
                    </a:prstGeom>
                    <a:noFill/>
                    <a:ln w="9525">
                      <a:noFill/>
                      <a:miter lim="800000"/>
                      <a:headEnd/>
                      <a:tailEnd/>
                    </a:ln>
                  </pic:spPr>
                </pic:pic>
              </a:graphicData>
            </a:graphic>
          </wp:inline>
        </w:drawing>
      </w:r>
    </w:p>
    <w:p w:rsidR="00020D22" w:rsidRPr="005C50C3" w:rsidRDefault="00020D22" w:rsidP="009C33FD">
      <w:pPr>
        <w:rPr>
          <w:rFonts w:ascii="Arial" w:hAnsi="Arial" w:cs="Arial"/>
          <w:sz w:val="20"/>
          <w:szCs w:val="20"/>
        </w:rPr>
      </w:pPr>
      <w:r w:rsidRPr="005C50C3">
        <w:rPr>
          <w:rFonts w:ascii="Arial" w:hAnsi="Arial" w:cs="Arial"/>
          <w:sz w:val="20"/>
          <w:szCs w:val="20"/>
        </w:rPr>
        <w:t>Vir: Študija</w:t>
      </w:r>
    </w:p>
    <w:p w:rsidR="00A11D8D" w:rsidRPr="005C50C3" w:rsidRDefault="00A11D8D" w:rsidP="009C33FD">
      <w:pPr>
        <w:rPr>
          <w:rFonts w:ascii="Arial" w:hAnsi="Arial" w:cs="Arial"/>
          <w:sz w:val="20"/>
          <w:szCs w:val="20"/>
        </w:rPr>
      </w:pPr>
      <w:r w:rsidRPr="005C50C3">
        <w:rPr>
          <w:rFonts w:ascii="Arial" w:hAnsi="Arial" w:cs="Arial"/>
          <w:sz w:val="20"/>
          <w:szCs w:val="20"/>
        </w:rPr>
        <w:lastRenderedPageBreak/>
        <w:t xml:space="preserve">Avtorji študije menijo, da bi bilo treba na politični ravni </w:t>
      </w:r>
      <w:r w:rsidR="00A700E0" w:rsidRPr="005C50C3">
        <w:rPr>
          <w:rFonts w:ascii="Arial" w:hAnsi="Arial" w:cs="Arial"/>
          <w:sz w:val="20"/>
          <w:szCs w:val="20"/>
        </w:rPr>
        <w:t xml:space="preserve">narediti </w:t>
      </w:r>
      <w:r w:rsidRPr="005C50C3">
        <w:rPr>
          <w:rFonts w:ascii="Arial" w:hAnsi="Arial" w:cs="Arial"/>
          <w:sz w:val="20"/>
          <w:szCs w:val="20"/>
        </w:rPr>
        <w:t>načrt</w:t>
      </w:r>
      <w:r w:rsidR="00A700E0" w:rsidRPr="005C50C3">
        <w:rPr>
          <w:rFonts w:ascii="Arial" w:hAnsi="Arial" w:cs="Arial"/>
          <w:sz w:val="20"/>
          <w:szCs w:val="20"/>
        </w:rPr>
        <w:t xml:space="preserve"> za razvoj rabe bioplina z vključitvijo področij kmetijstva in ravnanja z odpadki. Vzpostaviti bi bilo treba stabilno okolje za naložbe, odpraviti tehnične in </w:t>
      </w:r>
      <w:proofErr w:type="spellStart"/>
      <w:r w:rsidR="00A700E0" w:rsidRPr="005C50C3">
        <w:rPr>
          <w:rFonts w:ascii="Arial" w:hAnsi="Arial" w:cs="Arial"/>
          <w:sz w:val="20"/>
          <w:szCs w:val="20"/>
        </w:rPr>
        <w:t>regulativne</w:t>
      </w:r>
      <w:proofErr w:type="spellEnd"/>
      <w:r w:rsidR="00A700E0" w:rsidRPr="005C50C3">
        <w:rPr>
          <w:rFonts w:ascii="Arial" w:hAnsi="Arial" w:cs="Arial"/>
          <w:sz w:val="20"/>
          <w:szCs w:val="20"/>
        </w:rPr>
        <w:t xml:space="preserve"> ovire, zlasti tiste za čezmejno trgovanje z energijo. </w:t>
      </w:r>
    </w:p>
    <w:p w:rsidR="00A700E0" w:rsidRPr="005C50C3" w:rsidRDefault="00A700E0" w:rsidP="009C33FD">
      <w:pPr>
        <w:rPr>
          <w:rFonts w:ascii="Arial" w:hAnsi="Arial" w:cs="Arial"/>
          <w:sz w:val="20"/>
          <w:szCs w:val="20"/>
        </w:rPr>
      </w:pPr>
      <w:r w:rsidRPr="005C50C3">
        <w:rPr>
          <w:rFonts w:ascii="Arial" w:hAnsi="Arial" w:cs="Arial"/>
          <w:sz w:val="20"/>
          <w:szCs w:val="20"/>
        </w:rPr>
        <w:t>V študiji je priporočilo, da bi morali v Evropi bioplin več uporabljati za gretje stanovanj in državljane obveščati, kakšne so lahko koristi od lokalnih projektov za rabo bioplina, pa tudi glede varnosti sistemov za njegovo pridobivanje in rabo. Predstavljeni so primeri podpor države za rabo bioplina.</w:t>
      </w:r>
    </w:p>
    <w:p w:rsidR="00A700E0" w:rsidRPr="005C50C3" w:rsidRDefault="00A700E0" w:rsidP="009C33FD">
      <w:pPr>
        <w:rPr>
          <w:rFonts w:ascii="Arial" w:hAnsi="Arial" w:cs="Arial"/>
          <w:sz w:val="20"/>
          <w:szCs w:val="20"/>
        </w:rPr>
      </w:pPr>
      <w:r w:rsidRPr="005C50C3">
        <w:rPr>
          <w:rFonts w:ascii="Arial" w:hAnsi="Arial" w:cs="Arial"/>
          <w:sz w:val="20"/>
          <w:szCs w:val="20"/>
        </w:rPr>
        <w:t xml:space="preserve">V študiji so predstavljeni štirje scenariji za rabo bioplina v kogeneraciji oziroma </w:t>
      </w:r>
      <w:proofErr w:type="spellStart"/>
      <w:r w:rsidRPr="005C50C3">
        <w:rPr>
          <w:rFonts w:ascii="Arial" w:hAnsi="Arial" w:cs="Arial"/>
          <w:sz w:val="20"/>
          <w:szCs w:val="20"/>
        </w:rPr>
        <w:t>soproizvodnji</w:t>
      </w:r>
      <w:proofErr w:type="spellEnd"/>
      <w:r w:rsidRPr="005C50C3">
        <w:rPr>
          <w:rFonts w:ascii="Arial" w:hAnsi="Arial" w:cs="Arial"/>
          <w:sz w:val="20"/>
          <w:szCs w:val="20"/>
        </w:rPr>
        <w:t xml:space="preserve"> električne energije in toplote, za spremembo bioplina v </w:t>
      </w:r>
      <w:proofErr w:type="spellStart"/>
      <w:r w:rsidRPr="005C50C3">
        <w:rPr>
          <w:rFonts w:ascii="Arial" w:hAnsi="Arial" w:cs="Arial"/>
          <w:sz w:val="20"/>
          <w:szCs w:val="20"/>
        </w:rPr>
        <w:t>biometan</w:t>
      </w:r>
      <w:proofErr w:type="spellEnd"/>
      <w:r w:rsidRPr="005C50C3">
        <w:rPr>
          <w:rFonts w:ascii="Arial" w:hAnsi="Arial" w:cs="Arial"/>
          <w:sz w:val="20"/>
          <w:szCs w:val="20"/>
        </w:rPr>
        <w:t xml:space="preserve">. </w:t>
      </w:r>
    </w:p>
    <w:p w:rsidR="00020D22" w:rsidRPr="005C50C3" w:rsidRDefault="0071749A" w:rsidP="009C33FD">
      <w:pPr>
        <w:rPr>
          <w:rFonts w:ascii="Arial" w:hAnsi="Arial" w:cs="Arial"/>
          <w:b/>
          <w:sz w:val="20"/>
          <w:szCs w:val="20"/>
        </w:rPr>
      </w:pPr>
      <w:r w:rsidRPr="005C50C3">
        <w:rPr>
          <w:rFonts w:ascii="Arial" w:hAnsi="Arial" w:cs="Arial"/>
          <w:b/>
          <w:sz w:val="20"/>
          <w:szCs w:val="20"/>
        </w:rPr>
        <w:t>Tabela 1: Štirje scenariji, predstavljeni v študiji</w:t>
      </w:r>
    </w:p>
    <w:tbl>
      <w:tblPr>
        <w:tblStyle w:val="Tabela-mrea"/>
        <w:tblW w:w="0" w:type="auto"/>
        <w:tblLook w:val="04A0"/>
      </w:tblPr>
      <w:tblGrid>
        <w:gridCol w:w="4606"/>
        <w:gridCol w:w="4606"/>
      </w:tblGrid>
      <w:tr w:rsidR="0071749A" w:rsidRPr="005C50C3" w:rsidTr="0071749A">
        <w:tc>
          <w:tcPr>
            <w:tcW w:w="4606" w:type="dxa"/>
          </w:tcPr>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Local</w:t>
            </w:r>
            <w:proofErr w:type="spellEnd"/>
            <w:r w:rsidRPr="005C50C3">
              <w:rPr>
                <w:rFonts w:ascii="Arial" w:hAnsi="Arial" w:cs="Arial"/>
                <w:sz w:val="20"/>
                <w:szCs w:val="20"/>
              </w:rPr>
              <w:t xml:space="preserve"> </w:t>
            </w:r>
            <w:proofErr w:type="spellStart"/>
            <w:r w:rsidRPr="005C50C3">
              <w:rPr>
                <w:rFonts w:ascii="Arial" w:hAnsi="Arial" w:cs="Arial"/>
                <w:sz w:val="20"/>
                <w:szCs w:val="20"/>
              </w:rPr>
              <w:t>use</w:t>
            </w:r>
            <w:proofErr w:type="spellEnd"/>
            <w:r w:rsidRPr="005C50C3">
              <w:rPr>
                <w:rFonts w:ascii="Arial" w:hAnsi="Arial" w:cs="Arial"/>
                <w:sz w:val="20"/>
                <w:szCs w:val="20"/>
              </w:rPr>
              <w:t xml:space="preserve"> &amp; </w:t>
            </w: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
        </w:tc>
        <w:tc>
          <w:tcPr>
            <w:tcW w:w="4606" w:type="dxa"/>
          </w:tcPr>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Local</w:t>
            </w:r>
            <w:proofErr w:type="spellEnd"/>
            <w:r w:rsidRPr="005C50C3">
              <w:rPr>
                <w:rFonts w:ascii="Arial" w:hAnsi="Arial" w:cs="Arial"/>
                <w:sz w:val="20"/>
                <w:szCs w:val="20"/>
              </w:rPr>
              <w:t xml:space="preserve"> </w:t>
            </w:r>
            <w:proofErr w:type="spellStart"/>
            <w:r w:rsidRPr="005C50C3">
              <w:rPr>
                <w:rFonts w:ascii="Arial" w:hAnsi="Arial" w:cs="Arial"/>
                <w:sz w:val="20"/>
                <w:szCs w:val="20"/>
              </w:rPr>
              <w:t>use</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biogas</w:t>
            </w:r>
            <w:proofErr w:type="spellEnd"/>
            <w:r w:rsidRPr="005C50C3">
              <w:rPr>
                <w:rFonts w:ascii="Arial" w:hAnsi="Arial" w:cs="Arial"/>
                <w:sz w:val="20"/>
                <w:szCs w:val="20"/>
              </w:rPr>
              <w:t xml:space="preserve"> in CHP, </w:t>
            </w:r>
            <w:proofErr w:type="spellStart"/>
            <w:r w:rsidRPr="005C50C3">
              <w:rPr>
                <w:rFonts w:ascii="Arial" w:hAnsi="Arial" w:cs="Arial"/>
                <w:sz w:val="20"/>
                <w:szCs w:val="20"/>
              </w:rPr>
              <w:t>with</w:t>
            </w:r>
            <w:proofErr w:type="spellEnd"/>
            <w:r w:rsidRPr="005C50C3">
              <w:rPr>
                <w:rFonts w:ascii="Arial" w:hAnsi="Arial" w:cs="Arial"/>
                <w:sz w:val="20"/>
                <w:szCs w:val="20"/>
              </w:rPr>
              <w:t xml:space="preserve"> </w:t>
            </w:r>
            <w:proofErr w:type="spellStart"/>
            <w:r w:rsidRPr="005C50C3">
              <w:rPr>
                <w:rFonts w:ascii="Arial" w:hAnsi="Arial" w:cs="Arial"/>
                <w:sz w:val="20"/>
                <w:szCs w:val="20"/>
              </w:rPr>
              <w:t>electricity</w:t>
            </w:r>
            <w:proofErr w:type="spellEnd"/>
            <w:r w:rsidRPr="005C50C3">
              <w:rPr>
                <w:rFonts w:ascii="Arial" w:hAnsi="Arial" w:cs="Arial"/>
                <w:sz w:val="20"/>
                <w:szCs w:val="20"/>
              </w:rPr>
              <w:t xml:space="preserve"> </w:t>
            </w:r>
            <w:proofErr w:type="spellStart"/>
            <w:r w:rsidRPr="005C50C3">
              <w:rPr>
                <w:rFonts w:ascii="Arial" w:hAnsi="Arial" w:cs="Arial"/>
                <w:sz w:val="20"/>
                <w:szCs w:val="20"/>
              </w:rPr>
              <w:t>fed</w:t>
            </w:r>
            <w:proofErr w:type="spellEnd"/>
            <w:r w:rsidRPr="005C50C3">
              <w:rPr>
                <w:rFonts w:ascii="Arial" w:hAnsi="Arial" w:cs="Arial"/>
                <w:sz w:val="20"/>
                <w:szCs w:val="20"/>
              </w:rPr>
              <w:t xml:space="preserve"> to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grid</w:t>
            </w:r>
            <w:proofErr w:type="spellEnd"/>
            <w:r w:rsidRPr="005C50C3">
              <w:rPr>
                <w:rFonts w:ascii="Arial" w:hAnsi="Arial" w:cs="Arial"/>
                <w:sz w:val="20"/>
                <w:szCs w:val="20"/>
              </w:rPr>
              <w:t xml:space="preserve"> </w:t>
            </w:r>
            <w:proofErr w:type="spellStart"/>
            <w:r w:rsidRPr="005C50C3">
              <w:rPr>
                <w:rFonts w:ascii="Arial" w:hAnsi="Arial" w:cs="Arial"/>
                <w:sz w:val="20"/>
                <w:szCs w:val="20"/>
              </w:rPr>
              <w:t>and</w:t>
            </w:r>
            <w:proofErr w:type="spellEnd"/>
            <w:r w:rsidRPr="005C50C3">
              <w:rPr>
                <w:rFonts w:ascii="Arial" w:hAnsi="Arial" w:cs="Arial"/>
                <w:sz w:val="20"/>
                <w:szCs w:val="20"/>
              </w:rPr>
              <w:t xml:space="preserve"> </w:t>
            </w:r>
            <w:proofErr w:type="spellStart"/>
            <w:r w:rsidRPr="005C50C3">
              <w:rPr>
                <w:rFonts w:ascii="Arial" w:hAnsi="Arial" w:cs="Arial"/>
                <w:sz w:val="20"/>
                <w:szCs w:val="20"/>
              </w:rPr>
              <w:t>local</w:t>
            </w:r>
            <w:proofErr w:type="spellEnd"/>
            <w:r w:rsidRPr="005C50C3">
              <w:rPr>
                <w:rFonts w:ascii="Arial" w:hAnsi="Arial" w:cs="Arial"/>
                <w:sz w:val="20"/>
                <w:szCs w:val="20"/>
              </w:rPr>
              <w:t xml:space="preserve"> </w:t>
            </w:r>
            <w:proofErr w:type="spellStart"/>
            <w:r w:rsidRPr="005C50C3">
              <w:rPr>
                <w:rFonts w:ascii="Arial" w:hAnsi="Arial" w:cs="Arial"/>
                <w:sz w:val="20"/>
                <w:szCs w:val="20"/>
              </w:rPr>
              <w:t>use</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heat</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feedstock</w:t>
            </w:r>
            <w:proofErr w:type="spellEnd"/>
            <w:r w:rsidRPr="005C50C3">
              <w:rPr>
                <w:rFonts w:ascii="Arial" w:hAnsi="Arial" w:cs="Arial"/>
                <w:sz w:val="20"/>
                <w:szCs w:val="20"/>
              </w:rPr>
              <w:t xml:space="preserve"> </w:t>
            </w:r>
            <w:proofErr w:type="spellStart"/>
            <w:r w:rsidRPr="005C50C3">
              <w:rPr>
                <w:rFonts w:ascii="Arial" w:hAnsi="Arial" w:cs="Arial"/>
                <w:sz w:val="20"/>
                <w:szCs w:val="20"/>
              </w:rPr>
              <w:t>deployment</w:t>
            </w:r>
            <w:proofErr w:type="spellEnd"/>
            <w:r w:rsidRPr="005C50C3">
              <w:rPr>
                <w:rFonts w:ascii="Arial" w:hAnsi="Arial" w:cs="Arial"/>
                <w:sz w:val="20"/>
                <w:szCs w:val="20"/>
              </w:rPr>
              <w:t xml:space="preserve">, </w:t>
            </w:r>
            <w:proofErr w:type="spellStart"/>
            <w:r w:rsidRPr="005C50C3">
              <w:rPr>
                <w:rFonts w:ascii="Arial" w:hAnsi="Arial" w:cs="Arial"/>
                <w:sz w:val="20"/>
                <w:szCs w:val="20"/>
              </w:rPr>
              <w:t>regular</w:t>
            </w:r>
            <w:proofErr w:type="spellEnd"/>
            <w:r w:rsidRPr="005C50C3">
              <w:rPr>
                <w:rFonts w:ascii="Arial" w:hAnsi="Arial" w:cs="Arial"/>
                <w:sz w:val="20"/>
                <w:szCs w:val="20"/>
              </w:rPr>
              <w:t xml:space="preserve"> </w:t>
            </w:r>
            <w:proofErr w:type="spellStart"/>
            <w:r w:rsidRPr="005C50C3">
              <w:rPr>
                <w:rFonts w:ascii="Arial" w:hAnsi="Arial" w:cs="Arial"/>
                <w:sz w:val="20"/>
                <w:szCs w:val="20"/>
              </w:rPr>
              <w:t>development</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investment</w:t>
            </w:r>
            <w:proofErr w:type="spellEnd"/>
            <w:r w:rsidRPr="005C50C3">
              <w:rPr>
                <w:rFonts w:ascii="Arial" w:hAnsi="Arial" w:cs="Arial"/>
                <w:sz w:val="20"/>
                <w:szCs w:val="20"/>
              </w:rPr>
              <w:t xml:space="preserve"> </w:t>
            </w:r>
            <w:proofErr w:type="spellStart"/>
            <w:r w:rsidRPr="005C50C3">
              <w:rPr>
                <w:rFonts w:ascii="Arial" w:hAnsi="Arial" w:cs="Arial"/>
                <w:sz w:val="20"/>
                <w:szCs w:val="20"/>
              </w:rPr>
              <w:t>costs</w:t>
            </w:r>
            <w:proofErr w:type="spellEnd"/>
            <w:r w:rsidRPr="005C50C3">
              <w:rPr>
                <w:rFonts w:ascii="Arial" w:hAnsi="Arial" w:cs="Arial"/>
                <w:sz w:val="20"/>
                <w:szCs w:val="20"/>
              </w:rPr>
              <w:t xml:space="preserve"> </w:t>
            </w:r>
            <w:proofErr w:type="spellStart"/>
            <w:r w:rsidRPr="005C50C3">
              <w:rPr>
                <w:rFonts w:ascii="Arial" w:hAnsi="Arial" w:cs="Arial"/>
                <w:sz w:val="20"/>
                <w:szCs w:val="20"/>
              </w:rPr>
              <w:t>and</w:t>
            </w:r>
            <w:proofErr w:type="spellEnd"/>
            <w:r w:rsidRPr="005C50C3">
              <w:rPr>
                <w:rFonts w:ascii="Arial" w:hAnsi="Arial" w:cs="Arial"/>
                <w:sz w:val="20"/>
                <w:szCs w:val="20"/>
              </w:rPr>
              <w:t xml:space="preserve"> </w:t>
            </w:r>
            <w:proofErr w:type="spellStart"/>
            <w:r w:rsidRPr="005C50C3">
              <w:rPr>
                <w:rFonts w:ascii="Arial" w:hAnsi="Arial" w:cs="Arial"/>
                <w:sz w:val="20"/>
                <w:szCs w:val="20"/>
              </w:rPr>
              <w:t>conversion</w:t>
            </w:r>
            <w:proofErr w:type="spellEnd"/>
            <w:r w:rsidRPr="005C50C3">
              <w:rPr>
                <w:rFonts w:ascii="Arial" w:hAnsi="Arial" w:cs="Arial"/>
                <w:sz w:val="20"/>
                <w:szCs w:val="20"/>
              </w:rPr>
              <w:t xml:space="preserve"> </w:t>
            </w:r>
            <w:proofErr w:type="spellStart"/>
            <w:r w:rsidRPr="005C50C3">
              <w:rPr>
                <w:rFonts w:ascii="Arial" w:hAnsi="Arial" w:cs="Arial"/>
                <w:sz w:val="20"/>
                <w:szCs w:val="20"/>
              </w:rPr>
              <w:t>efficiencies</w:t>
            </w:r>
            <w:proofErr w:type="spellEnd"/>
            <w:r w:rsidRPr="005C50C3">
              <w:rPr>
                <w:rFonts w:ascii="Arial" w:hAnsi="Arial" w:cs="Arial"/>
                <w:sz w:val="20"/>
                <w:szCs w:val="20"/>
              </w:rPr>
              <w:t xml:space="preserve"> </w:t>
            </w:r>
          </w:p>
        </w:tc>
      </w:tr>
      <w:tr w:rsidR="0071749A" w:rsidRPr="005C50C3" w:rsidTr="0071749A">
        <w:tc>
          <w:tcPr>
            <w:tcW w:w="4606" w:type="dxa"/>
          </w:tcPr>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Local</w:t>
            </w:r>
            <w:proofErr w:type="spellEnd"/>
            <w:r w:rsidRPr="005C50C3">
              <w:rPr>
                <w:rFonts w:ascii="Arial" w:hAnsi="Arial" w:cs="Arial"/>
                <w:sz w:val="20"/>
                <w:szCs w:val="20"/>
              </w:rPr>
              <w:t xml:space="preserve"> </w:t>
            </w:r>
            <w:proofErr w:type="spellStart"/>
            <w:r w:rsidRPr="005C50C3">
              <w:rPr>
                <w:rFonts w:ascii="Arial" w:hAnsi="Arial" w:cs="Arial"/>
                <w:sz w:val="20"/>
                <w:szCs w:val="20"/>
              </w:rPr>
              <w:t>use</w:t>
            </w:r>
            <w:proofErr w:type="spellEnd"/>
            <w:r w:rsidRPr="005C50C3">
              <w:rPr>
                <w:rFonts w:ascii="Arial" w:hAnsi="Arial" w:cs="Arial"/>
                <w:sz w:val="20"/>
                <w:szCs w:val="20"/>
              </w:rPr>
              <w:t xml:space="preserve"> &amp; </w:t>
            </w:r>
            <w:proofErr w:type="spellStart"/>
            <w:r w:rsidRPr="005C50C3">
              <w:rPr>
                <w:rFonts w:ascii="Arial" w:hAnsi="Arial" w:cs="Arial"/>
                <w:sz w:val="20"/>
                <w:szCs w:val="20"/>
              </w:rPr>
              <w:t>accelerated</w:t>
            </w:r>
            <w:proofErr w:type="spellEnd"/>
            <w:r w:rsidRPr="005C50C3">
              <w:rPr>
                <w:rFonts w:ascii="Arial" w:hAnsi="Arial" w:cs="Arial"/>
                <w:sz w:val="20"/>
                <w:szCs w:val="20"/>
              </w:rPr>
              <w:t xml:space="preserve"> </w:t>
            </w: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
        </w:tc>
        <w:tc>
          <w:tcPr>
            <w:tcW w:w="4606" w:type="dxa"/>
          </w:tcPr>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Local</w:t>
            </w:r>
            <w:proofErr w:type="spellEnd"/>
            <w:r w:rsidRPr="005C50C3">
              <w:rPr>
                <w:rFonts w:ascii="Arial" w:hAnsi="Arial" w:cs="Arial"/>
                <w:sz w:val="20"/>
                <w:szCs w:val="20"/>
              </w:rPr>
              <w:t xml:space="preserve"> </w:t>
            </w:r>
            <w:proofErr w:type="spellStart"/>
            <w:r w:rsidRPr="005C50C3">
              <w:rPr>
                <w:rFonts w:ascii="Arial" w:hAnsi="Arial" w:cs="Arial"/>
                <w:sz w:val="20"/>
                <w:szCs w:val="20"/>
              </w:rPr>
              <w:t>use</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biogas</w:t>
            </w:r>
            <w:proofErr w:type="spellEnd"/>
            <w:r w:rsidRPr="005C50C3">
              <w:rPr>
                <w:rFonts w:ascii="Arial" w:hAnsi="Arial" w:cs="Arial"/>
                <w:sz w:val="20"/>
                <w:szCs w:val="20"/>
              </w:rPr>
              <w:t xml:space="preserve"> in CHP, </w:t>
            </w:r>
            <w:proofErr w:type="spellStart"/>
            <w:r w:rsidRPr="005C50C3">
              <w:rPr>
                <w:rFonts w:ascii="Arial" w:hAnsi="Arial" w:cs="Arial"/>
                <w:sz w:val="20"/>
                <w:szCs w:val="20"/>
              </w:rPr>
              <w:t>with</w:t>
            </w:r>
            <w:proofErr w:type="spellEnd"/>
            <w:r w:rsidRPr="005C50C3">
              <w:rPr>
                <w:rFonts w:ascii="Arial" w:hAnsi="Arial" w:cs="Arial"/>
                <w:sz w:val="20"/>
                <w:szCs w:val="20"/>
              </w:rPr>
              <w:t xml:space="preserve"> </w:t>
            </w:r>
            <w:proofErr w:type="spellStart"/>
            <w:r w:rsidRPr="005C50C3">
              <w:rPr>
                <w:rFonts w:ascii="Arial" w:hAnsi="Arial" w:cs="Arial"/>
                <w:sz w:val="20"/>
                <w:szCs w:val="20"/>
              </w:rPr>
              <w:t>electricity</w:t>
            </w:r>
            <w:proofErr w:type="spellEnd"/>
            <w:r w:rsidRPr="005C50C3">
              <w:rPr>
                <w:rFonts w:ascii="Arial" w:hAnsi="Arial" w:cs="Arial"/>
                <w:sz w:val="20"/>
                <w:szCs w:val="20"/>
              </w:rPr>
              <w:t xml:space="preserve"> </w:t>
            </w:r>
            <w:proofErr w:type="spellStart"/>
            <w:r w:rsidRPr="005C50C3">
              <w:rPr>
                <w:rFonts w:ascii="Arial" w:hAnsi="Arial" w:cs="Arial"/>
                <w:sz w:val="20"/>
                <w:szCs w:val="20"/>
              </w:rPr>
              <w:t>fed</w:t>
            </w:r>
            <w:proofErr w:type="spellEnd"/>
            <w:r w:rsidRPr="005C50C3">
              <w:rPr>
                <w:rFonts w:ascii="Arial" w:hAnsi="Arial" w:cs="Arial"/>
                <w:sz w:val="20"/>
                <w:szCs w:val="20"/>
              </w:rPr>
              <w:t xml:space="preserve"> to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grid</w:t>
            </w:r>
            <w:proofErr w:type="spellEnd"/>
            <w:r w:rsidRPr="005C50C3">
              <w:rPr>
                <w:rFonts w:ascii="Arial" w:hAnsi="Arial" w:cs="Arial"/>
                <w:sz w:val="20"/>
                <w:szCs w:val="20"/>
              </w:rPr>
              <w:t xml:space="preserve"> </w:t>
            </w:r>
            <w:proofErr w:type="spellStart"/>
            <w:r w:rsidRPr="005C50C3">
              <w:rPr>
                <w:rFonts w:ascii="Arial" w:hAnsi="Arial" w:cs="Arial"/>
                <w:sz w:val="20"/>
                <w:szCs w:val="20"/>
              </w:rPr>
              <w:t>and</w:t>
            </w:r>
            <w:proofErr w:type="spellEnd"/>
            <w:r w:rsidRPr="005C50C3">
              <w:rPr>
                <w:rFonts w:ascii="Arial" w:hAnsi="Arial" w:cs="Arial"/>
                <w:sz w:val="20"/>
                <w:szCs w:val="20"/>
              </w:rPr>
              <w:t xml:space="preserve"> </w:t>
            </w:r>
            <w:proofErr w:type="spellStart"/>
            <w:r w:rsidRPr="005C50C3">
              <w:rPr>
                <w:rFonts w:ascii="Arial" w:hAnsi="Arial" w:cs="Arial"/>
                <w:sz w:val="20"/>
                <w:szCs w:val="20"/>
              </w:rPr>
              <w:t>local</w:t>
            </w:r>
            <w:proofErr w:type="spellEnd"/>
            <w:r w:rsidRPr="005C50C3">
              <w:rPr>
                <w:rFonts w:ascii="Arial" w:hAnsi="Arial" w:cs="Arial"/>
                <w:sz w:val="20"/>
                <w:szCs w:val="20"/>
              </w:rPr>
              <w:t xml:space="preserve"> </w:t>
            </w:r>
            <w:proofErr w:type="spellStart"/>
            <w:r w:rsidRPr="005C50C3">
              <w:rPr>
                <w:rFonts w:ascii="Arial" w:hAnsi="Arial" w:cs="Arial"/>
                <w:sz w:val="20"/>
                <w:szCs w:val="20"/>
              </w:rPr>
              <w:t>use</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heat</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Accelerated</w:t>
            </w:r>
            <w:proofErr w:type="spellEnd"/>
            <w:r w:rsidRPr="005C50C3">
              <w:rPr>
                <w:rFonts w:ascii="Arial" w:hAnsi="Arial" w:cs="Arial"/>
                <w:sz w:val="20"/>
                <w:szCs w:val="20"/>
              </w:rPr>
              <w:t xml:space="preserve"> </w:t>
            </w: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feedstock</w:t>
            </w:r>
            <w:proofErr w:type="spellEnd"/>
            <w:r w:rsidRPr="005C50C3">
              <w:rPr>
                <w:rFonts w:ascii="Arial" w:hAnsi="Arial" w:cs="Arial"/>
                <w:sz w:val="20"/>
                <w:szCs w:val="20"/>
              </w:rPr>
              <w:t xml:space="preserve"> </w:t>
            </w:r>
            <w:proofErr w:type="spellStart"/>
            <w:r w:rsidRPr="005C50C3">
              <w:rPr>
                <w:rFonts w:ascii="Arial" w:hAnsi="Arial" w:cs="Arial"/>
                <w:sz w:val="20"/>
                <w:szCs w:val="20"/>
              </w:rPr>
              <w:t>deployment</w:t>
            </w:r>
            <w:proofErr w:type="spellEnd"/>
            <w:r w:rsidRPr="005C50C3">
              <w:rPr>
                <w:rFonts w:ascii="Arial" w:hAnsi="Arial" w:cs="Arial"/>
                <w:sz w:val="20"/>
                <w:szCs w:val="20"/>
              </w:rPr>
              <w:t xml:space="preserve">, </w:t>
            </w:r>
            <w:proofErr w:type="spellStart"/>
            <w:r w:rsidRPr="005C50C3">
              <w:rPr>
                <w:rFonts w:ascii="Arial" w:hAnsi="Arial" w:cs="Arial"/>
                <w:sz w:val="20"/>
                <w:szCs w:val="20"/>
              </w:rPr>
              <w:t>accelerated</w:t>
            </w:r>
            <w:proofErr w:type="spellEnd"/>
            <w:r w:rsidRPr="005C50C3">
              <w:rPr>
                <w:rFonts w:ascii="Arial" w:hAnsi="Arial" w:cs="Arial"/>
                <w:sz w:val="20"/>
                <w:szCs w:val="20"/>
              </w:rPr>
              <w:t xml:space="preserve"> </w:t>
            </w:r>
            <w:proofErr w:type="spellStart"/>
            <w:r w:rsidRPr="005C50C3">
              <w:rPr>
                <w:rFonts w:ascii="Arial" w:hAnsi="Arial" w:cs="Arial"/>
                <w:sz w:val="20"/>
                <w:szCs w:val="20"/>
              </w:rPr>
              <w:t>development</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investment</w:t>
            </w:r>
            <w:proofErr w:type="spellEnd"/>
            <w:r w:rsidRPr="005C50C3">
              <w:rPr>
                <w:rFonts w:ascii="Arial" w:hAnsi="Arial" w:cs="Arial"/>
                <w:sz w:val="20"/>
                <w:szCs w:val="20"/>
              </w:rPr>
              <w:t xml:space="preserve"> </w:t>
            </w:r>
            <w:proofErr w:type="spellStart"/>
            <w:r w:rsidRPr="005C50C3">
              <w:rPr>
                <w:rFonts w:ascii="Arial" w:hAnsi="Arial" w:cs="Arial"/>
                <w:sz w:val="20"/>
                <w:szCs w:val="20"/>
              </w:rPr>
              <w:t>costs</w:t>
            </w:r>
            <w:proofErr w:type="spellEnd"/>
            <w:r w:rsidRPr="005C50C3">
              <w:rPr>
                <w:rFonts w:ascii="Arial" w:hAnsi="Arial" w:cs="Arial"/>
                <w:sz w:val="20"/>
                <w:szCs w:val="20"/>
              </w:rPr>
              <w:t xml:space="preserve"> </w:t>
            </w:r>
            <w:proofErr w:type="spellStart"/>
            <w:r w:rsidRPr="005C50C3">
              <w:rPr>
                <w:rFonts w:ascii="Arial" w:hAnsi="Arial" w:cs="Arial"/>
                <w:sz w:val="20"/>
                <w:szCs w:val="20"/>
              </w:rPr>
              <w:t>and</w:t>
            </w:r>
            <w:proofErr w:type="spellEnd"/>
            <w:r w:rsidRPr="005C50C3">
              <w:rPr>
                <w:rFonts w:ascii="Arial" w:hAnsi="Arial" w:cs="Arial"/>
                <w:sz w:val="20"/>
                <w:szCs w:val="20"/>
              </w:rPr>
              <w:t xml:space="preserve"> </w:t>
            </w:r>
            <w:proofErr w:type="spellStart"/>
            <w:r w:rsidRPr="005C50C3">
              <w:rPr>
                <w:rFonts w:ascii="Arial" w:hAnsi="Arial" w:cs="Arial"/>
                <w:sz w:val="20"/>
                <w:szCs w:val="20"/>
              </w:rPr>
              <w:t>conversion</w:t>
            </w:r>
            <w:proofErr w:type="spellEnd"/>
            <w:r w:rsidRPr="005C50C3">
              <w:rPr>
                <w:rFonts w:ascii="Arial" w:hAnsi="Arial" w:cs="Arial"/>
                <w:sz w:val="20"/>
                <w:szCs w:val="20"/>
              </w:rPr>
              <w:t xml:space="preserve"> </w:t>
            </w:r>
            <w:proofErr w:type="spellStart"/>
            <w:r w:rsidRPr="005C50C3">
              <w:rPr>
                <w:rFonts w:ascii="Arial" w:hAnsi="Arial" w:cs="Arial"/>
                <w:sz w:val="20"/>
                <w:szCs w:val="20"/>
              </w:rPr>
              <w:t>efficiencies</w:t>
            </w:r>
            <w:proofErr w:type="spellEnd"/>
            <w:r w:rsidRPr="005C50C3">
              <w:rPr>
                <w:rFonts w:ascii="Arial" w:hAnsi="Arial" w:cs="Arial"/>
                <w:sz w:val="20"/>
                <w:szCs w:val="20"/>
              </w:rPr>
              <w:t xml:space="preserve"> </w:t>
            </w:r>
          </w:p>
        </w:tc>
      </w:tr>
      <w:tr w:rsidR="0071749A" w:rsidRPr="005C50C3" w:rsidTr="0071749A">
        <w:tc>
          <w:tcPr>
            <w:tcW w:w="4606" w:type="dxa"/>
          </w:tcPr>
          <w:p w:rsidR="0071749A" w:rsidRPr="005C50C3" w:rsidRDefault="0071749A" w:rsidP="009C33FD">
            <w:pPr>
              <w:rPr>
                <w:rFonts w:ascii="Arial" w:hAnsi="Arial" w:cs="Arial"/>
                <w:sz w:val="20"/>
                <w:szCs w:val="20"/>
              </w:rPr>
            </w:pPr>
            <w:r w:rsidRPr="005C50C3">
              <w:rPr>
                <w:rFonts w:ascii="Arial" w:hAnsi="Arial" w:cs="Arial"/>
                <w:sz w:val="20"/>
                <w:szCs w:val="20"/>
              </w:rPr>
              <w:t xml:space="preserve">To </w:t>
            </w:r>
            <w:proofErr w:type="spellStart"/>
            <w:r w:rsidRPr="005C50C3">
              <w:rPr>
                <w:rFonts w:ascii="Arial" w:hAnsi="Arial" w:cs="Arial"/>
                <w:sz w:val="20"/>
                <w:szCs w:val="20"/>
              </w:rPr>
              <w:t>gas</w:t>
            </w:r>
            <w:proofErr w:type="spellEnd"/>
            <w:r w:rsidRPr="005C50C3">
              <w:rPr>
                <w:rFonts w:ascii="Arial" w:hAnsi="Arial" w:cs="Arial"/>
                <w:sz w:val="20"/>
                <w:szCs w:val="20"/>
              </w:rPr>
              <w:t xml:space="preserve"> </w:t>
            </w:r>
            <w:proofErr w:type="spellStart"/>
            <w:r w:rsidRPr="005C50C3">
              <w:rPr>
                <w:rFonts w:ascii="Arial" w:hAnsi="Arial" w:cs="Arial"/>
                <w:sz w:val="20"/>
                <w:szCs w:val="20"/>
              </w:rPr>
              <w:t>grid</w:t>
            </w:r>
            <w:proofErr w:type="spellEnd"/>
            <w:r w:rsidRPr="005C50C3">
              <w:rPr>
                <w:rFonts w:ascii="Arial" w:hAnsi="Arial" w:cs="Arial"/>
                <w:sz w:val="20"/>
                <w:szCs w:val="20"/>
              </w:rPr>
              <w:t xml:space="preserve"> &amp; </w:t>
            </w: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
        </w:tc>
        <w:tc>
          <w:tcPr>
            <w:tcW w:w="4606" w:type="dxa"/>
          </w:tcPr>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Upgrading</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biogas</w:t>
            </w:r>
            <w:proofErr w:type="spellEnd"/>
            <w:r w:rsidRPr="005C50C3">
              <w:rPr>
                <w:rFonts w:ascii="Arial" w:hAnsi="Arial" w:cs="Arial"/>
                <w:sz w:val="20"/>
                <w:szCs w:val="20"/>
              </w:rPr>
              <w:t xml:space="preserve"> to </w:t>
            </w:r>
            <w:proofErr w:type="spellStart"/>
            <w:r w:rsidRPr="005C50C3">
              <w:rPr>
                <w:rFonts w:ascii="Arial" w:hAnsi="Arial" w:cs="Arial"/>
                <w:sz w:val="20"/>
                <w:szCs w:val="20"/>
              </w:rPr>
              <w:t>biomethane</w:t>
            </w:r>
            <w:proofErr w:type="spellEnd"/>
            <w:r w:rsidRPr="005C50C3">
              <w:rPr>
                <w:rFonts w:ascii="Arial" w:hAnsi="Arial" w:cs="Arial"/>
                <w:sz w:val="20"/>
                <w:szCs w:val="20"/>
              </w:rPr>
              <w:t xml:space="preserve">, </w:t>
            </w:r>
            <w:proofErr w:type="spellStart"/>
            <w:r w:rsidRPr="005C50C3">
              <w:rPr>
                <w:rFonts w:ascii="Arial" w:hAnsi="Arial" w:cs="Arial"/>
                <w:sz w:val="20"/>
                <w:szCs w:val="20"/>
              </w:rPr>
              <w:t>fed</w:t>
            </w:r>
            <w:proofErr w:type="spellEnd"/>
            <w:r w:rsidRPr="005C50C3">
              <w:rPr>
                <w:rFonts w:ascii="Arial" w:hAnsi="Arial" w:cs="Arial"/>
                <w:sz w:val="20"/>
                <w:szCs w:val="20"/>
              </w:rPr>
              <w:t xml:space="preserve"> </w:t>
            </w:r>
            <w:proofErr w:type="spellStart"/>
            <w:r w:rsidRPr="005C50C3">
              <w:rPr>
                <w:rFonts w:ascii="Arial" w:hAnsi="Arial" w:cs="Arial"/>
                <w:sz w:val="20"/>
                <w:szCs w:val="20"/>
              </w:rPr>
              <w:t>into</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gas</w:t>
            </w:r>
            <w:proofErr w:type="spellEnd"/>
            <w:r w:rsidRPr="005C50C3">
              <w:rPr>
                <w:rFonts w:ascii="Arial" w:hAnsi="Arial" w:cs="Arial"/>
                <w:sz w:val="20"/>
                <w:szCs w:val="20"/>
              </w:rPr>
              <w:t xml:space="preserve"> </w:t>
            </w:r>
            <w:proofErr w:type="spellStart"/>
            <w:r w:rsidRPr="005C50C3">
              <w:rPr>
                <w:rFonts w:ascii="Arial" w:hAnsi="Arial" w:cs="Arial"/>
                <w:sz w:val="20"/>
                <w:szCs w:val="20"/>
              </w:rPr>
              <w:t>grid</w:t>
            </w:r>
            <w:proofErr w:type="spellEnd"/>
            <w:r w:rsidRPr="005C50C3">
              <w:rPr>
                <w:rFonts w:ascii="Arial" w:hAnsi="Arial" w:cs="Arial"/>
                <w:sz w:val="20"/>
                <w:szCs w:val="20"/>
              </w:rPr>
              <w:t xml:space="preserve">. Use in </w:t>
            </w:r>
            <w:proofErr w:type="spellStart"/>
            <w:r w:rsidRPr="005C50C3">
              <w:rPr>
                <w:rFonts w:ascii="Arial" w:hAnsi="Arial" w:cs="Arial"/>
                <w:sz w:val="20"/>
                <w:szCs w:val="20"/>
              </w:rPr>
              <w:t>built</w:t>
            </w:r>
            <w:proofErr w:type="spellEnd"/>
            <w:r w:rsidRPr="005C50C3">
              <w:rPr>
                <w:rFonts w:ascii="Arial" w:hAnsi="Arial" w:cs="Arial"/>
                <w:sz w:val="20"/>
                <w:szCs w:val="20"/>
              </w:rPr>
              <w:t xml:space="preserve"> </w:t>
            </w:r>
            <w:proofErr w:type="spellStart"/>
            <w:r w:rsidRPr="005C50C3">
              <w:rPr>
                <w:rFonts w:ascii="Arial" w:hAnsi="Arial" w:cs="Arial"/>
                <w:sz w:val="20"/>
                <w:szCs w:val="20"/>
              </w:rPr>
              <w:t>environment</w:t>
            </w:r>
            <w:proofErr w:type="spellEnd"/>
            <w:r w:rsidRPr="005C50C3">
              <w:rPr>
                <w:rFonts w:ascii="Arial" w:hAnsi="Arial" w:cs="Arial"/>
                <w:sz w:val="20"/>
                <w:szCs w:val="20"/>
              </w:rPr>
              <w:t xml:space="preserve"> or in transport </w:t>
            </w:r>
            <w:proofErr w:type="spellStart"/>
            <w:r w:rsidRPr="005C50C3">
              <w:rPr>
                <w:rFonts w:ascii="Arial" w:hAnsi="Arial" w:cs="Arial"/>
                <w:sz w:val="20"/>
                <w:szCs w:val="20"/>
              </w:rPr>
              <w:t>sector</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feedstock</w:t>
            </w:r>
            <w:proofErr w:type="spellEnd"/>
            <w:r w:rsidRPr="005C50C3">
              <w:rPr>
                <w:rFonts w:ascii="Arial" w:hAnsi="Arial" w:cs="Arial"/>
                <w:sz w:val="20"/>
                <w:szCs w:val="20"/>
              </w:rPr>
              <w:t xml:space="preserve"> </w:t>
            </w:r>
            <w:proofErr w:type="spellStart"/>
            <w:r w:rsidRPr="005C50C3">
              <w:rPr>
                <w:rFonts w:ascii="Arial" w:hAnsi="Arial" w:cs="Arial"/>
                <w:sz w:val="20"/>
                <w:szCs w:val="20"/>
              </w:rPr>
              <w:t>deployment</w:t>
            </w:r>
            <w:proofErr w:type="spellEnd"/>
            <w:r w:rsidRPr="005C50C3">
              <w:rPr>
                <w:rFonts w:ascii="Arial" w:hAnsi="Arial" w:cs="Arial"/>
                <w:sz w:val="20"/>
                <w:szCs w:val="20"/>
              </w:rPr>
              <w:t xml:space="preserve">, </w:t>
            </w:r>
            <w:proofErr w:type="spellStart"/>
            <w:r w:rsidRPr="005C50C3">
              <w:rPr>
                <w:rFonts w:ascii="Arial" w:hAnsi="Arial" w:cs="Arial"/>
                <w:sz w:val="20"/>
                <w:szCs w:val="20"/>
              </w:rPr>
              <w:t>regular</w:t>
            </w:r>
            <w:proofErr w:type="spellEnd"/>
            <w:r w:rsidRPr="005C50C3">
              <w:rPr>
                <w:rFonts w:ascii="Arial" w:hAnsi="Arial" w:cs="Arial"/>
                <w:sz w:val="20"/>
                <w:szCs w:val="20"/>
              </w:rPr>
              <w:t xml:space="preserve"> </w:t>
            </w:r>
            <w:proofErr w:type="spellStart"/>
            <w:r w:rsidRPr="005C50C3">
              <w:rPr>
                <w:rFonts w:ascii="Arial" w:hAnsi="Arial" w:cs="Arial"/>
                <w:sz w:val="20"/>
                <w:szCs w:val="20"/>
              </w:rPr>
              <w:t>development</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investment</w:t>
            </w:r>
            <w:proofErr w:type="spellEnd"/>
            <w:r w:rsidRPr="005C50C3">
              <w:rPr>
                <w:rFonts w:ascii="Arial" w:hAnsi="Arial" w:cs="Arial"/>
                <w:sz w:val="20"/>
                <w:szCs w:val="20"/>
              </w:rPr>
              <w:t xml:space="preserve"> </w:t>
            </w:r>
            <w:proofErr w:type="spellStart"/>
            <w:r w:rsidRPr="005C50C3">
              <w:rPr>
                <w:rFonts w:ascii="Arial" w:hAnsi="Arial" w:cs="Arial"/>
                <w:sz w:val="20"/>
                <w:szCs w:val="20"/>
              </w:rPr>
              <w:t>costs</w:t>
            </w:r>
            <w:proofErr w:type="spellEnd"/>
            <w:r w:rsidRPr="005C50C3">
              <w:rPr>
                <w:rFonts w:ascii="Arial" w:hAnsi="Arial" w:cs="Arial"/>
                <w:sz w:val="20"/>
                <w:szCs w:val="20"/>
              </w:rPr>
              <w:t xml:space="preserve"> </w:t>
            </w:r>
            <w:proofErr w:type="spellStart"/>
            <w:r w:rsidRPr="005C50C3">
              <w:rPr>
                <w:rFonts w:ascii="Arial" w:hAnsi="Arial" w:cs="Arial"/>
                <w:sz w:val="20"/>
                <w:szCs w:val="20"/>
              </w:rPr>
              <w:t>and</w:t>
            </w:r>
            <w:proofErr w:type="spellEnd"/>
            <w:r w:rsidRPr="005C50C3">
              <w:rPr>
                <w:rFonts w:ascii="Arial" w:hAnsi="Arial" w:cs="Arial"/>
                <w:sz w:val="20"/>
                <w:szCs w:val="20"/>
              </w:rPr>
              <w:t xml:space="preserve"> </w:t>
            </w:r>
            <w:proofErr w:type="spellStart"/>
            <w:r w:rsidRPr="005C50C3">
              <w:rPr>
                <w:rFonts w:ascii="Arial" w:hAnsi="Arial" w:cs="Arial"/>
                <w:sz w:val="20"/>
                <w:szCs w:val="20"/>
              </w:rPr>
              <w:t>conversion</w:t>
            </w:r>
            <w:proofErr w:type="spellEnd"/>
            <w:r w:rsidRPr="005C50C3">
              <w:rPr>
                <w:rFonts w:ascii="Arial" w:hAnsi="Arial" w:cs="Arial"/>
                <w:sz w:val="20"/>
                <w:szCs w:val="20"/>
              </w:rPr>
              <w:t xml:space="preserve"> </w:t>
            </w:r>
            <w:proofErr w:type="spellStart"/>
            <w:r w:rsidRPr="005C50C3">
              <w:rPr>
                <w:rFonts w:ascii="Arial" w:hAnsi="Arial" w:cs="Arial"/>
                <w:sz w:val="20"/>
                <w:szCs w:val="20"/>
              </w:rPr>
              <w:t>efficiencies</w:t>
            </w:r>
            <w:proofErr w:type="spellEnd"/>
            <w:r w:rsidRPr="005C50C3">
              <w:rPr>
                <w:rFonts w:ascii="Arial" w:hAnsi="Arial" w:cs="Arial"/>
                <w:sz w:val="20"/>
                <w:szCs w:val="20"/>
              </w:rPr>
              <w:t xml:space="preserve"> </w:t>
            </w:r>
          </w:p>
        </w:tc>
      </w:tr>
      <w:tr w:rsidR="0071749A" w:rsidRPr="005C50C3" w:rsidTr="0071749A">
        <w:tc>
          <w:tcPr>
            <w:tcW w:w="4606" w:type="dxa"/>
          </w:tcPr>
          <w:p w:rsidR="0071749A" w:rsidRPr="005C50C3" w:rsidRDefault="0071749A" w:rsidP="009C33FD">
            <w:pPr>
              <w:rPr>
                <w:rFonts w:ascii="Arial" w:hAnsi="Arial" w:cs="Arial"/>
                <w:sz w:val="20"/>
                <w:szCs w:val="20"/>
              </w:rPr>
            </w:pPr>
            <w:r w:rsidRPr="005C50C3">
              <w:rPr>
                <w:rFonts w:ascii="Arial" w:hAnsi="Arial" w:cs="Arial"/>
                <w:sz w:val="20"/>
                <w:szCs w:val="20"/>
              </w:rPr>
              <w:t xml:space="preserve">To </w:t>
            </w:r>
            <w:proofErr w:type="spellStart"/>
            <w:r w:rsidRPr="005C50C3">
              <w:rPr>
                <w:rFonts w:ascii="Arial" w:hAnsi="Arial" w:cs="Arial"/>
                <w:sz w:val="20"/>
                <w:szCs w:val="20"/>
              </w:rPr>
              <w:t>gas</w:t>
            </w:r>
            <w:proofErr w:type="spellEnd"/>
            <w:r w:rsidRPr="005C50C3">
              <w:rPr>
                <w:rFonts w:ascii="Arial" w:hAnsi="Arial" w:cs="Arial"/>
                <w:sz w:val="20"/>
                <w:szCs w:val="20"/>
              </w:rPr>
              <w:t xml:space="preserve"> </w:t>
            </w:r>
            <w:proofErr w:type="spellStart"/>
            <w:r w:rsidRPr="005C50C3">
              <w:rPr>
                <w:rFonts w:ascii="Arial" w:hAnsi="Arial" w:cs="Arial"/>
                <w:sz w:val="20"/>
                <w:szCs w:val="20"/>
              </w:rPr>
              <w:t>grid</w:t>
            </w:r>
            <w:proofErr w:type="spellEnd"/>
            <w:r w:rsidRPr="005C50C3">
              <w:rPr>
                <w:rFonts w:ascii="Arial" w:hAnsi="Arial" w:cs="Arial"/>
                <w:sz w:val="20"/>
                <w:szCs w:val="20"/>
              </w:rPr>
              <w:t xml:space="preserve"> &amp; </w:t>
            </w:r>
            <w:proofErr w:type="spellStart"/>
            <w:r w:rsidRPr="005C50C3">
              <w:rPr>
                <w:rFonts w:ascii="Arial" w:hAnsi="Arial" w:cs="Arial"/>
                <w:sz w:val="20"/>
                <w:szCs w:val="20"/>
              </w:rPr>
              <w:t>accelerated</w:t>
            </w:r>
            <w:proofErr w:type="spellEnd"/>
            <w:r w:rsidRPr="005C50C3">
              <w:rPr>
                <w:rFonts w:ascii="Arial" w:hAnsi="Arial" w:cs="Arial"/>
                <w:sz w:val="20"/>
                <w:szCs w:val="20"/>
              </w:rPr>
              <w:t xml:space="preserve"> </w:t>
            </w: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
        </w:tc>
        <w:tc>
          <w:tcPr>
            <w:tcW w:w="4606" w:type="dxa"/>
          </w:tcPr>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Upgrading</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biogas</w:t>
            </w:r>
            <w:proofErr w:type="spellEnd"/>
            <w:r w:rsidRPr="005C50C3">
              <w:rPr>
                <w:rFonts w:ascii="Arial" w:hAnsi="Arial" w:cs="Arial"/>
                <w:sz w:val="20"/>
                <w:szCs w:val="20"/>
              </w:rPr>
              <w:t xml:space="preserve"> to </w:t>
            </w:r>
            <w:proofErr w:type="spellStart"/>
            <w:r w:rsidRPr="005C50C3">
              <w:rPr>
                <w:rFonts w:ascii="Arial" w:hAnsi="Arial" w:cs="Arial"/>
                <w:sz w:val="20"/>
                <w:szCs w:val="20"/>
              </w:rPr>
              <w:t>biomethane</w:t>
            </w:r>
            <w:proofErr w:type="spellEnd"/>
            <w:r w:rsidRPr="005C50C3">
              <w:rPr>
                <w:rFonts w:ascii="Arial" w:hAnsi="Arial" w:cs="Arial"/>
                <w:sz w:val="20"/>
                <w:szCs w:val="20"/>
              </w:rPr>
              <w:t xml:space="preserve">, </w:t>
            </w:r>
            <w:proofErr w:type="spellStart"/>
            <w:r w:rsidRPr="005C50C3">
              <w:rPr>
                <w:rFonts w:ascii="Arial" w:hAnsi="Arial" w:cs="Arial"/>
                <w:sz w:val="20"/>
                <w:szCs w:val="20"/>
              </w:rPr>
              <w:t>fed</w:t>
            </w:r>
            <w:proofErr w:type="spellEnd"/>
            <w:r w:rsidRPr="005C50C3">
              <w:rPr>
                <w:rFonts w:ascii="Arial" w:hAnsi="Arial" w:cs="Arial"/>
                <w:sz w:val="20"/>
                <w:szCs w:val="20"/>
              </w:rPr>
              <w:t xml:space="preserve"> </w:t>
            </w:r>
            <w:proofErr w:type="spellStart"/>
            <w:r w:rsidRPr="005C50C3">
              <w:rPr>
                <w:rFonts w:ascii="Arial" w:hAnsi="Arial" w:cs="Arial"/>
                <w:sz w:val="20"/>
                <w:szCs w:val="20"/>
              </w:rPr>
              <w:t>into</w:t>
            </w:r>
            <w:proofErr w:type="spellEnd"/>
            <w:r w:rsidRPr="005C50C3">
              <w:rPr>
                <w:rFonts w:ascii="Arial" w:hAnsi="Arial" w:cs="Arial"/>
                <w:sz w:val="20"/>
                <w:szCs w:val="20"/>
              </w:rPr>
              <w:t xml:space="preserve"> </w:t>
            </w:r>
            <w:proofErr w:type="spellStart"/>
            <w:r w:rsidRPr="005C50C3">
              <w:rPr>
                <w:rFonts w:ascii="Arial" w:hAnsi="Arial" w:cs="Arial"/>
                <w:sz w:val="20"/>
                <w:szCs w:val="20"/>
              </w:rPr>
              <w:t>the</w:t>
            </w:r>
            <w:proofErr w:type="spellEnd"/>
            <w:r w:rsidRPr="005C50C3">
              <w:rPr>
                <w:rFonts w:ascii="Arial" w:hAnsi="Arial" w:cs="Arial"/>
                <w:sz w:val="20"/>
                <w:szCs w:val="20"/>
              </w:rPr>
              <w:t xml:space="preserve"> </w:t>
            </w:r>
            <w:proofErr w:type="spellStart"/>
            <w:r w:rsidRPr="005C50C3">
              <w:rPr>
                <w:rFonts w:ascii="Arial" w:hAnsi="Arial" w:cs="Arial"/>
                <w:sz w:val="20"/>
                <w:szCs w:val="20"/>
              </w:rPr>
              <w:t>gas</w:t>
            </w:r>
            <w:proofErr w:type="spellEnd"/>
            <w:r w:rsidRPr="005C50C3">
              <w:rPr>
                <w:rFonts w:ascii="Arial" w:hAnsi="Arial" w:cs="Arial"/>
                <w:sz w:val="20"/>
                <w:szCs w:val="20"/>
              </w:rPr>
              <w:t xml:space="preserve"> </w:t>
            </w:r>
            <w:proofErr w:type="spellStart"/>
            <w:r w:rsidRPr="005C50C3">
              <w:rPr>
                <w:rFonts w:ascii="Arial" w:hAnsi="Arial" w:cs="Arial"/>
                <w:sz w:val="20"/>
                <w:szCs w:val="20"/>
              </w:rPr>
              <w:t>grid</w:t>
            </w:r>
            <w:proofErr w:type="spellEnd"/>
            <w:r w:rsidRPr="005C50C3">
              <w:rPr>
                <w:rFonts w:ascii="Arial" w:hAnsi="Arial" w:cs="Arial"/>
                <w:sz w:val="20"/>
                <w:szCs w:val="20"/>
              </w:rPr>
              <w:t xml:space="preserve">. Use in </w:t>
            </w:r>
            <w:proofErr w:type="spellStart"/>
            <w:r w:rsidRPr="005C50C3">
              <w:rPr>
                <w:rFonts w:ascii="Arial" w:hAnsi="Arial" w:cs="Arial"/>
                <w:sz w:val="20"/>
                <w:szCs w:val="20"/>
              </w:rPr>
              <w:t>built</w:t>
            </w:r>
            <w:proofErr w:type="spellEnd"/>
            <w:r w:rsidRPr="005C50C3">
              <w:rPr>
                <w:rFonts w:ascii="Arial" w:hAnsi="Arial" w:cs="Arial"/>
                <w:sz w:val="20"/>
                <w:szCs w:val="20"/>
              </w:rPr>
              <w:t xml:space="preserve"> </w:t>
            </w:r>
            <w:proofErr w:type="spellStart"/>
            <w:r w:rsidRPr="005C50C3">
              <w:rPr>
                <w:rFonts w:ascii="Arial" w:hAnsi="Arial" w:cs="Arial"/>
                <w:sz w:val="20"/>
                <w:szCs w:val="20"/>
              </w:rPr>
              <w:t>environment</w:t>
            </w:r>
            <w:proofErr w:type="spellEnd"/>
            <w:r w:rsidRPr="005C50C3">
              <w:rPr>
                <w:rFonts w:ascii="Arial" w:hAnsi="Arial" w:cs="Arial"/>
                <w:sz w:val="20"/>
                <w:szCs w:val="20"/>
              </w:rPr>
              <w:t xml:space="preserve"> or in transport </w:t>
            </w:r>
            <w:proofErr w:type="spellStart"/>
            <w:r w:rsidRPr="005C50C3">
              <w:rPr>
                <w:rFonts w:ascii="Arial" w:hAnsi="Arial" w:cs="Arial"/>
                <w:sz w:val="20"/>
                <w:szCs w:val="20"/>
              </w:rPr>
              <w:t>sector</w:t>
            </w:r>
            <w:proofErr w:type="spellEnd"/>
            <w:r w:rsidRPr="005C50C3">
              <w:rPr>
                <w:rFonts w:ascii="Arial" w:hAnsi="Arial" w:cs="Arial"/>
                <w:sz w:val="20"/>
                <w:szCs w:val="20"/>
              </w:rPr>
              <w:t xml:space="preserve">. </w:t>
            </w:r>
          </w:p>
          <w:p w:rsidR="0071749A" w:rsidRPr="005C50C3" w:rsidRDefault="0071749A" w:rsidP="009C33FD">
            <w:pPr>
              <w:rPr>
                <w:rFonts w:ascii="Arial" w:hAnsi="Arial" w:cs="Arial"/>
                <w:sz w:val="20"/>
                <w:szCs w:val="20"/>
              </w:rPr>
            </w:pPr>
            <w:proofErr w:type="spellStart"/>
            <w:r w:rsidRPr="005C50C3">
              <w:rPr>
                <w:rFonts w:ascii="Arial" w:hAnsi="Arial" w:cs="Arial"/>
                <w:sz w:val="20"/>
                <w:szCs w:val="20"/>
              </w:rPr>
              <w:t>Accelerated</w:t>
            </w:r>
            <w:proofErr w:type="spellEnd"/>
            <w:r w:rsidRPr="005C50C3">
              <w:rPr>
                <w:rFonts w:ascii="Arial" w:hAnsi="Arial" w:cs="Arial"/>
                <w:sz w:val="20"/>
                <w:szCs w:val="20"/>
              </w:rPr>
              <w:t xml:space="preserve"> </w:t>
            </w:r>
            <w:proofErr w:type="spellStart"/>
            <w:r w:rsidRPr="005C50C3">
              <w:rPr>
                <w:rFonts w:ascii="Arial" w:hAnsi="Arial" w:cs="Arial"/>
                <w:sz w:val="20"/>
                <w:szCs w:val="20"/>
              </w:rPr>
              <w:t>growth</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feedstock</w:t>
            </w:r>
            <w:proofErr w:type="spellEnd"/>
            <w:r w:rsidRPr="005C50C3">
              <w:rPr>
                <w:rFonts w:ascii="Arial" w:hAnsi="Arial" w:cs="Arial"/>
                <w:sz w:val="20"/>
                <w:szCs w:val="20"/>
              </w:rPr>
              <w:t xml:space="preserve"> </w:t>
            </w:r>
            <w:proofErr w:type="spellStart"/>
            <w:r w:rsidRPr="005C50C3">
              <w:rPr>
                <w:rFonts w:ascii="Arial" w:hAnsi="Arial" w:cs="Arial"/>
                <w:sz w:val="20"/>
                <w:szCs w:val="20"/>
              </w:rPr>
              <w:t>deployment</w:t>
            </w:r>
            <w:proofErr w:type="spellEnd"/>
            <w:r w:rsidRPr="005C50C3">
              <w:rPr>
                <w:rFonts w:ascii="Arial" w:hAnsi="Arial" w:cs="Arial"/>
                <w:sz w:val="20"/>
                <w:szCs w:val="20"/>
              </w:rPr>
              <w:t xml:space="preserve">, </w:t>
            </w:r>
            <w:proofErr w:type="spellStart"/>
            <w:r w:rsidRPr="005C50C3">
              <w:rPr>
                <w:rFonts w:ascii="Arial" w:hAnsi="Arial" w:cs="Arial"/>
                <w:sz w:val="20"/>
                <w:szCs w:val="20"/>
              </w:rPr>
              <w:t>accelerated</w:t>
            </w:r>
            <w:proofErr w:type="spellEnd"/>
            <w:r w:rsidRPr="005C50C3">
              <w:rPr>
                <w:rFonts w:ascii="Arial" w:hAnsi="Arial" w:cs="Arial"/>
                <w:sz w:val="20"/>
                <w:szCs w:val="20"/>
              </w:rPr>
              <w:t xml:space="preserve"> </w:t>
            </w:r>
            <w:proofErr w:type="spellStart"/>
            <w:r w:rsidRPr="005C50C3">
              <w:rPr>
                <w:rFonts w:ascii="Arial" w:hAnsi="Arial" w:cs="Arial"/>
                <w:sz w:val="20"/>
                <w:szCs w:val="20"/>
              </w:rPr>
              <w:t>development</w:t>
            </w:r>
            <w:proofErr w:type="spellEnd"/>
            <w:r w:rsidRPr="005C50C3">
              <w:rPr>
                <w:rFonts w:ascii="Arial" w:hAnsi="Arial" w:cs="Arial"/>
                <w:sz w:val="20"/>
                <w:szCs w:val="20"/>
              </w:rPr>
              <w:t xml:space="preserve"> </w:t>
            </w:r>
            <w:proofErr w:type="spellStart"/>
            <w:r w:rsidRPr="005C50C3">
              <w:rPr>
                <w:rFonts w:ascii="Arial" w:hAnsi="Arial" w:cs="Arial"/>
                <w:sz w:val="20"/>
                <w:szCs w:val="20"/>
              </w:rPr>
              <w:t>of</w:t>
            </w:r>
            <w:proofErr w:type="spellEnd"/>
            <w:r w:rsidRPr="005C50C3">
              <w:rPr>
                <w:rFonts w:ascii="Arial" w:hAnsi="Arial" w:cs="Arial"/>
                <w:sz w:val="20"/>
                <w:szCs w:val="20"/>
              </w:rPr>
              <w:t xml:space="preserve"> </w:t>
            </w:r>
            <w:proofErr w:type="spellStart"/>
            <w:r w:rsidRPr="005C50C3">
              <w:rPr>
                <w:rFonts w:ascii="Arial" w:hAnsi="Arial" w:cs="Arial"/>
                <w:sz w:val="20"/>
                <w:szCs w:val="20"/>
              </w:rPr>
              <w:t>investment</w:t>
            </w:r>
            <w:proofErr w:type="spellEnd"/>
            <w:r w:rsidRPr="005C50C3">
              <w:rPr>
                <w:rFonts w:ascii="Arial" w:hAnsi="Arial" w:cs="Arial"/>
                <w:sz w:val="20"/>
                <w:szCs w:val="20"/>
              </w:rPr>
              <w:t xml:space="preserve"> </w:t>
            </w:r>
            <w:proofErr w:type="spellStart"/>
            <w:r w:rsidRPr="005C50C3">
              <w:rPr>
                <w:rFonts w:ascii="Arial" w:hAnsi="Arial" w:cs="Arial"/>
                <w:sz w:val="20"/>
                <w:szCs w:val="20"/>
              </w:rPr>
              <w:t>costs</w:t>
            </w:r>
            <w:proofErr w:type="spellEnd"/>
            <w:r w:rsidRPr="005C50C3">
              <w:rPr>
                <w:rFonts w:ascii="Arial" w:hAnsi="Arial" w:cs="Arial"/>
                <w:sz w:val="20"/>
                <w:szCs w:val="20"/>
              </w:rPr>
              <w:t xml:space="preserve"> </w:t>
            </w:r>
            <w:proofErr w:type="spellStart"/>
            <w:r w:rsidRPr="005C50C3">
              <w:rPr>
                <w:rFonts w:ascii="Arial" w:hAnsi="Arial" w:cs="Arial"/>
                <w:sz w:val="20"/>
                <w:szCs w:val="20"/>
              </w:rPr>
              <w:t>and</w:t>
            </w:r>
            <w:proofErr w:type="spellEnd"/>
            <w:r w:rsidRPr="005C50C3">
              <w:rPr>
                <w:rFonts w:ascii="Arial" w:hAnsi="Arial" w:cs="Arial"/>
                <w:sz w:val="20"/>
                <w:szCs w:val="20"/>
              </w:rPr>
              <w:t xml:space="preserve"> </w:t>
            </w:r>
            <w:proofErr w:type="spellStart"/>
            <w:r w:rsidRPr="005C50C3">
              <w:rPr>
                <w:rFonts w:ascii="Arial" w:hAnsi="Arial" w:cs="Arial"/>
                <w:sz w:val="20"/>
                <w:szCs w:val="20"/>
              </w:rPr>
              <w:t>conversion</w:t>
            </w:r>
            <w:proofErr w:type="spellEnd"/>
            <w:r w:rsidRPr="005C50C3">
              <w:rPr>
                <w:rFonts w:ascii="Arial" w:hAnsi="Arial" w:cs="Arial"/>
                <w:sz w:val="20"/>
                <w:szCs w:val="20"/>
              </w:rPr>
              <w:t xml:space="preserve"> </w:t>
            </w:r>
            <w:proofErr w:type="spellStart"/>
            <w:r w:rsidRPr="005C50C3">
              <w:rPr>
                <w:rFonts w:ascii="Arial" w:hAnsi="Arial" w:cs="Arial"/>
                <w:sz w:val="20"/>
                <w:szCs w:val="20"/>
              </w:rPr>
              <w:t>efficiencies</w:t>
            </w:r>
            <w:proofErr w:type="spellEnd"/>
            <w:r w:rsidRPr="005C50C3">
              <w:rPr>
                <w:rFonts w:ascii="Arial" w:hAnsi="Arial" w:cs="Arial"/>
                <w:sz w:val="20"/>
                <w:szCs w:val="20"/>
              </w:rPr>
              <w:t xml:space="preserve"> </w:t>
            </w:r>
          </w:p>
        </w:tc>
      </w:tr>
    </w:tbl>
    <w:p w:rsidR="0071749A" w:rsidRPr="005C50C3" w:rsidRDefault="0071749A" w:rsidP="009C33FD">
      <w:pPr>
        <w:rPr>
          <w:rFonts w:ascii="Arial" w:hAnsi="Arial" w:cs="Arial"/>
          <w:sz w:val="20"/>
          <w:szCs w:val="20"/>
        </w:rPr>
      </w:pPr>
      <w:r w:rsidRPr="005C50C3">
        <w:rPr>
          <w:rFonts w:ascii="Arial" w:hAnsi="Arial" w:cs="Arial"/>
          <w:sz w:val="20"/>
          <w:szCs w:val="20"/>
        </w:rPr>
        <w:t>Vir: Študija</w:t>
      </w:r>
    </w:p>
    <w:p w:rsidR="0071749A" w:rsidRPr="005C50C3" w:rsidRDefault="009C33FD" w:rsidP="009C33FD">
      <w:pPr>
        <w:rPr>
          <w:rFonts w:ascii="Arial" w:hAnsi="Arial" w:cs="Arial"/>
          <w:b/>
          <w:sz w:val="20"/>
          <w:szCs w:val="20"/>
        </w:rPr>
      </w:pPr>
      <w:r w:rsidRPr="005C50C3">
        <w:rPr>
          <w:rFonts w:ascii="Arial" w:hAnsi="Arial" w:cs="Arial"/>
          <w:b/>
          <w:sz w:val="20"/>
          <w:szCs w:val="20"/>
        </w:rPr>
        <w:t>Koristne informacije:</w:t>
      </w:r>
    </w:p>
    <w:p w:rsidR="009C33FD" w:rsidRPr="005C50C3" w:rsidRDefault="009C33FD" w:rsidP="005C50C3">
      <w:pPr>
        <w:pStyle w:val="Odstavekseznama"/>
        <w:numPr>
          <w:ilvl w:val="0"/>
          <w:numId w:val="3"/>
        </w:numPr>
        <w:rPr>
          <w:rFonts w:ascii="Arial" w:hAnsi="Arial" w:cs="Arial"/>
          <w:sz w:val="20"/>
          <w:szCs w:val="20"/>
        </w:rPr>
      </w:pPr>
      <w:r w:rsidRPr="005C50C3">
        <w:rPr>
          <w:rFonts w:ascii="Arial" w:hAnsi="Arial" w:cs="Arial"/>
          <w:sz w:val="20"/>
          <w:szCs w:val="20"/>
        </w:rPr>
        <w:t>Študija:</w:t>
      </w:r>
    </w:p>
    <w:p w:rsidR="009C33FD" w:rsidRPr="005C50C3" w:rsidRDefault="009C33FD" w:rsidP="005C50C3">
      <w:pPr>
        <w:pStyle w:val="Odstavekseznama"/>
        <w:numPr>
          <w:ilvl w:val="0"/>
          <w:numId w:val="3"/>
        </w:numPr>
        <w:rPr>
          <w:rFonts w:ascii="Arial" w:hAnsi="Arial" w:cs="Arial"/>
          <w:sz w:val="20"/>
          <w:szCs w:val="20"/>
        </w:rPr>
      </w:pPr>
      <w:hyperlink r:id="rId7" w:history="1">
        <w:r w:rsidRPr="005C50C3">
          <w:rPr>
            <w:rStyle w:val="Hiperpovezava"/>
            <w:rFonts w:ascii="Arial" w:hAnsi="Arial" w:cs="Arial"/>
            <w:sz w:val="20"/>
            <w:szCs w:val="20"/>
          </w:rPr>
          <w:t>https://ec.europa.eu/energy/sites/ener/files/documents/ce_delft_3g84_biogas_beyond_2020_final_report.pdf</w:t>
        </w:r>
      </w:hyperlink>
    </w:p>
    <w:p w:rsidR="009C33FD" w:rsidRPr="005C50C3" w:rsidRDefault="009C33FD" w:rsidP="005C50C3">
      <w:pPr>
        <w:pStyle w:val="Odstavekseznama"/>
        <w:numPr>
          <w:ilvl w:val="0"/>
          <w:numId w:val="3"/>
        </w:numPr>
        <w:rPr>
          <w:rFonts w:ascii="Arial" w:hAnsi="Arial" w:cs="Arial"/>
          <w:sz w:val="20"/>
          <w:szCs w:val="20"/>
        </w:rPr>
      </w:pPr>
      <w:r w:rsidRPr="005C50C3">
        <w:rPr>
          <w:rFonts w:ascii="Arial" w:hAnsi="Arial" w:cs="Arial"/>
          <w:sz w:val="20"/>
          <w:szCs w:val="20"/>
        </w:rPr>
        <w:t>Podnebno-energetski cilji do leta 2020:</w:t>
      </w:r>
    </w:p>
    <w:p w:rsidR="009C33FD" w:rsidRPr="005C50C3" w:rsidRDefault="009C33FD" w:rsidP="005C50C3">
      <w:pPr>
        <w:pStyle w:val="Odstavekseznama"/>
        <w:numPr>
          <w:ilvl w:val="0"/>
          <w:numId w:val="3"/>
        </w:numPr>
        <w:rPr>
          <w:rFonts w:ascii="Arial" w:hAnsi="Arial" w:cs="Arial"/>
          <w:sz w:val="20"/>
          <w:szCs w:val="20"/>
        </w:rPr>
      </w:pPr>
      <w:hyperlink r:id="rId8" w:history="1">
        <w:r w:rsidRPr="005C50C3">
          <w:rPr>
            <w:rStyle w:val="Hiperpovezava"/>
            <w:rFonts w:ascii="Arial" w:hAnsi="Arial" w:cs="Arial"/>
            <w:sz w:val="20"/>
            <w:szCs w:val="20"/>
          </w:rPr>
          <w:t>https://ec.europa.eu/energy/en/topics/energy-strategy-and-energy-union/2020-energy-strategy</w:t>
        </w:r>
      </w:hyperlink>
    </w:p>
    <w:p w:rsidR="009C33FD" w:rsidRPr="005C50C3" w:rsidRDefault="009C33FD" w:rsidP="005C50C3">
      <w:pPr>
        <w:pStyle w:val="Odstavekseznama"/>
        <w:numPr>
          <w:ilvl w:val="0"/>
          <w:numId w:val="3"/>
        </w:numPr>
        <w:rPr>
          <w:rFonts w:ascii="Arial" w:hAnsi="Arial" w:cs="Arial"/>
          <w:sz w:val="20"/>
          <w:szCs w:val="20"/>
        </w:rPr>
      </w:pPr>
      <w:r w:rsidRPr="005C50C3">
        <w:rPr>
          <w:rFonts w:ascii="Arial" w:hAnsi="Arial" w:cs="Arial"/>
          <w:sz w:val="20"/>
          <w:szCs w:val="20"/>
        </w:rPr>
        <w:t>Podnebno-energetski cilji do leta 2030:</w:t>
      </w:r>
    </w:p>
    <w:p w:rsidR="009C33FD" w:rsidRPr="005C50C3" w:rsidRDefault="009C33FD" w:rsidP="005C50C3">
      <w:pPr>
        <w:pStyle w:val="Odstavekseznama"/>
        <w:numPr>
          <w:ilvl w:val="0"/>
          <w:numId w:val="3"/>
        </w:numPr>
        <w:rPr>
          <w:rFonts w:ascii="Arial" w:hAnsi="Arial" w:cs="Arial"/>
          <w:sz w:val="20"/>
          <w:szCs w:val="20"/>
        </w:rPr>
      </w:pPr>
      <w:hyperlink r:id="rId9" w:history="1">
        <w:r w:rsidRPr="005C50C3">
          <w:rPr>
            <w:rStyle w:val="Hiperpovezava"/>
            <w:rFonts w:ascii="Arial" w:hAnsi="Arial" w:cs="Arial"/>
            <w:sz w:val="20"/>
            <w:szCs w:val="20"/>
          </w:rPr>
          <w:t>https://ec.europa.eu/energy/en/topics/energy-strategy-and-energy-union/2030-energy-strategy</w:t>
        </w:r>
      </w:hyperlink>
    </w:p>
    <w:p w:rsidR="009C33FD" w:rsidRPr="005C50C3" w:rsidRDefault="009C33FD" w:rsidP="009C33FD">
      <w:pPr>
        <w:rPr>
          <w:rFonts w:ascii="Arial" w:hAnsi="Arial" w:cs="Arial"/>
          <w:sz w:val="20"/>
          <w:szCs w:val="20"/>
        </w:rPr>
      </w:pPr>
      <w:r w:rsidRPr="005C50C3">
        <w:rPr>
          <w:rFonts w:ascii="Arial" w:hAnsi="Arial" w:cs="Arial"/>
          <w:sz w:val="20"/>
          <w:szCs w:val="20"/>
        </w:rPr>
        <w:t>Pripravila:</w:t>
      </w:r>
    </w:p>
    <w:p w:rsidR="009C33FD" w:rsidRPr="005C50C3" w:rsidRDefault="009C33FD" w:rsidP="009C33FD">
      <w:pPr>
        <w:rPr>
          <w:rFonts w:ascii="Arial" w:hAnsi="Arial" w:cs="Arial"/>
          <w:sz w:val="20"/>
          <w:szCs w:val="20"/>
        </w:rPr>
      </w:pPr>
      <w:r w:rsidRPr="005C50C3">
        <w:rPr>
          <w:rFonts w:ascii="Arial" w:hAnsi="Arial" w:cs="Arial"/>
          <w:sz w:val="20"/>
          <w:szCs w:val="20"/>
        </w:rPr>
        <w:t>Darja Kocbek</w:t>
      </w:r>
    </w:p>
    <w:sectPr w:rsidR="009C33FD" w:rsidRPr="005C50C3"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altName w:val="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863AF"/>
    <w:multiLevelType w:val="hybridMultilevel"/>
    <w:tmpl w:val="AAE0FF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8AE2327"/>
    <w:multiLevelType w:val="hybridMultilevel"/>
    <w:tmpl w:val="8424CA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7DE929B0"/>
    <w:multiLevelType w:val="hybridMultilevel"/>
    <w:tmpl w:val="27FC6A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20D22"/>
    <w:rsid w:val="00020D22"/>
    <w:rsid w:val="0020300B"/>
    <w:rsid w:val="0039192F"/>
    <w:rsid w:val="005C50C3"/>
    <w:rsid w:val="0071749A"/>
    <w:rsid w:val="009C33FD"/>
    <w:rsid w:val="00A11D8D"/>
    <w:rsid w:val="00A700E0"/>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39192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020D22"/>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20D22"/>
    <w:rPr>
      <w:rFonts w:ascii="Tahoma" w:hAnsi="Tahoma" w:cs="Tahoma"/>
      <w:sz w:val="16"/>
      <w:szCs w:val="16"/>
    </w:rPr>
  </w:style>
  <w:style w:type="table" w:styleId="Tabela-mrea">
    <w:name w:val="Table Grid"/>
    <w:basedOn w:val="Navadnatabela"/>
    <w:uiPriority w:val="59"/>
    <w:rsid w:val="0071749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71749A"/>
    <w:pPr>
      <w:ind w:left="720"/>
      <w:contextualSpacing/>
    </w:pPr>
  </w:style>
  <w:style w:type="paragraph" w:customStyle="1" w:styleId="Default">
    <w:name w:val="Default"/>
    <w:rsid w:val="0071749A"/>
    <w:pPr>
      <w:autoSpaceDE w:val="0"/>
      <w:autoSpaceDN w:val="0"/>
      <w:adjustRightInd w:val="0"/>
      <w:spacing w:after="0" w:afterAutospacing="0"/>
      <w:jc w:val="left"/>
    </w:pPr>
    <w:rPr>
      <w:rFonts w:ascii="Verdana" w:hAnsi="Verdana" w:cs="Verdana"/>
      <w:color w:val="000000"/>
      <w:sz w:val="24"/>
      <w:szCs w:val="24"/>
    </w:rPr>
  </w:style>
  <w:style w:type="character" w:styleId="Hiperpovezava">
    <w:name w:val="Hyperlink"/>
    <w:basedOn w:val="Privzetapisavaodstavka"/>
    <w:uiPriority w:val="99"/>
    <w:unhideWhenUsed/>
    <w:rsid w:val="009C33FD"/>
    <w:rPr>
      <w:color w:val="0000FF" w:themeColor="hyperlink"/>
      <w:u w:val="single"/>
    </w:rPr>
  </w:style>
  <w:style w:type="character" w:customStyle="1" w:styleId="Naslov2Znak">
    <w:name w:val="Naslov 2 Znak"/>
    <w:basedOn w:val="Privzetapisavaodstavka"/>
    <w:link w:val="Naslov2"/>
    <w:uiPriority w:val="9"/>
    <w:semiHidden/>
    <w:rsid w:val="0039192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ergy/en/topics/energy-strategy-and-energy-union/2020-energy-strategy" TargetMode="External"/><Relationship Id="rId3" Type="http://schemas.openxmlformats.org/officeDocument/2006/relationships/settings" Target="settings.xml"/><Relationship Id="rId7" Type="http://schemas.openxmlformats.org/officeDocument/2006/relationships/hyperlink" Target="https://ec.europa.eu/energy/sites/ener/files/documents/ce_delft_3g84_biogas_beyond_2020_final_repor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nergy/en/topics/energy-strategy-and-energy-union/2030-energy-strategy"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491</Words>
  <Characters>2800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2017-04-19T13:54:00Z</dcterms:created>
  <dcterms:modified xsi:type="dcterms:W3CDTF">2017-04-19T15:14:00Z</dcterms:modified>
</cp:coreProperties>
</file>